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53" w:rsidRDefault="007F5B53">
      <w:pPr>
        <w:spacing w:line="366" w:lineRule="exact"/>
        <w:rPr>
          <w:rFonts w:hint="default"/>
        </w:rPr>
      </w:pPr>
      <w:bookmarkStart w:id="0" w:name="_GoBack"/>
      <w:bookmarkEnd w:id="0"/>
      <w:r>
        <w:rPr>
          <w:rFonts w:ascii="ＭＳ ゴシック" w:eastAsia="ＭＳ ゴシック" w:hAnsi="ＭＳ ゴシック"/>
          <w:sz w:val="28"/>
        </w:rPr>
        <w:t xml:space="preserve">　　　　　　　　食中毒防止のための厨房チェックリスト</w:t>
      </w:r>
      <w:r>
        <w:rPr>
          <w:spacing w:val="-1"/>
        </w:rPr>
        <w:t xml:space="preserve">      </w:t>
      </w:r>
    </w:p>
    <w:p w:rsidR="007F5B53" w:rsidRDefault="007F5B53">
      <w:pPr>
        <w:spacing w:line="346" w:lineRule="exact"/>
        <w:rPr>
          <w:rFonts w:hint="default"/>
        </w:rPr>
      </w:pPr>
      <w:r>
        <w:rPr>
          <w:spacing w:val="-1"/>
        </w:rPr>
        <w:t xml:space="preserve"> </w:t>
      </w:r>
      <w:r>
        <w:rPr>
          <w:sz w:val="20"/>
        </w:rPr>
        <w:t>※自己評価欄に○、△、×を記入してください。</w:t>
      </w:r>
      <w:r>
        <w:rPr>
          <w:spacing w:val="-1"/>
          <w:sz w:val="20"/>
        </w:rPr>
        <w:t xml:space="preserve">   </w:t>
      </w:r>
      <w:r>
        <w:rPr>
          <w:sz w:val="20"/>
        </w:rPr>
        <w:t xml:space="preserve">（病院名　　　　　　　　</w:t>
      </w:r>
      <w:r>
        <w:rPr>
          <w:spacing w:val="-1"/>
          <w:sz w:val="20"/>
        </w:rPr>
        <w:t xml:space="preserve"> </w:t>
      </w:r>
      <w:r>
        <w:rPr>
          <w:sz w:val="20"/>
        </w:rPr>
        <w:t xml:space="preserve">　　　　　　）</w:t>
      </w:r>
    </w:p>
    <w:tbl>
      <w:tblPr>
        <w:tblW w:w="0" w:type="auto"/>
        <w:tblInd w:w="116" w:type="dxa"/>
        <w:tblLayout w:type="fixed"/>
        <w:tblCellMar>
          <w:left w:w="0" w:type="dxa"/>
          <w:right w:w="0" w:type="dxa"/>
        </w:tblCellMar>
        <w:tblLook w:val="0000" w:firstRow="0" w:lastRow="0" w:firstColumn="0" w:lastColumn="0" w:noHBand="0" w:noVBand="0"/>
      </w:tblPr>
      <w:tblGrid>
        <w:gridCol w:w="402"/>
        <w:gridCol w:w="402"/>
        <w:gridCol w:w="7236"/>
        <w:gridCol w:w="670"/>
        <w:gridCol w:w="670"/>
      </w:tblGrid>
      <w:tr w:rsidR="007F5B53">
        <w:tc>
          <w:tcPr>
            <w:tcW w:w="80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7F5B53" w:rsidRDefault="007F5B53">
            <w:pPr>
              <w:spacing w:line="346" w:lineRule="exact"/>
              <w:jc w:val="center"/>
              <w:rPr>
                <w:rFonts w:hint="default"/>
              </w:rPr>
            </w:pPr>
            <w:r>
              <w:t>項</w:t>
            </w:r>
            <w:r>
              <w:rPr>
                <w:spacing w:val="-1"/>
              </w:rPr>
              <w:t xml:space="preserve">                                </w:t>
            </w:r>
            <w:r>
              <w:t>目</w:t>
            </w:r>
          </w:p>
          <w:p w:rsidR="007F5B53" w:rsidRDefault="007F5B53">
            <w:pPr>
              <w:jc w:val="center"/>
              <w:rPr>
                <w:rFonts w:hint="default"/>
              </w:rPr>
            </w:pPr>
          </w:p>
        </w:tc>
        <w:tc>
          <w:tcPr>
            <w:tcW w:w="1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jc w:val="center"/>
              <w:rPr>
                <w:rFonts w:hint="default"/>
              </w:rPr>
            </w:pPr>
            <w:r>
              <w:t>評　価</w:t>
            </w:r>
          </w:p>
        </w:tc>
      </w:tr>
      <w:tr w:rsidR="007F5B53">
        <w:tc>
          <w:tcPr>
            <w:tcW w:w="8040" w:type="dxa"/>
            <w:gridSpan w:val="3"/>
            <w:vMerge/>
            <w:tcBorders>
              <w:top w:val="nil"/>
              <w:left w:val="single" w:sz="4" w:space="0" w:color="000000"/>
              <w:bottom w:val="single" w:sz="4" w:space="0" w:color="000000"/>
              <w:right w:val="single" w:sz="4" w:space="0" w:color="000000"/>
            </w:tcBorders>
            <w:tcMar>
              <w:left w:w="49" w:type="dxa"/>
              <w:right w:w="49" w:type="dxa"/>
            </w:tcMar>
          </w:tcPr>
          <w:p w:rsidR="007F5B53" w:rsidRDefault="007F5B53">
            <w:pPr>
              <w:jc w:val="cente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jc w:val="center"/>
              <w:rPr>
                <w:rFonts w:hint="default"/>
              </w:rPr>
            </w:pPr>
            <w:r>
              <w:t>自己</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jc w:val="center"/>
              <w:rPr>
                <w:rFonts w:hint="default"/>
              </w:rPr>
            </w:pPr>
            <w:r>
              <w:t>県</w:t>
            </w:r>
          </w:p>
        </w:tc>
      </w:tr>
      <w:tr w:rsidR="007F5B53">
        <w:tc>
          <w:tcPr>
            <w:tcW w:w="9380" w:type="dxa"/>
            <w:gridSpan w:val="5"/>
            <w:tcBorders>
              <w:top w:val="single" w:sz="4" w:space="0" w:color="000000"/>
              <w:left w:val="single" w:sz="4" w:space="0" w:color="000000"/>
              <w:bottom w:val="nil"/>
              <w:right w:val="single" w:sz="4" w:space="0" w:color="000000"/>
            </w:tcBorders>
            <w:tcMar>
              <w:left w:w="49" w:type="dxa"/>
              <w:right w:w="49" w:type="dxa"/>
            </w:tcMar>
          </w:tcPr>
          <w:p w:rsidR="007F5B53" w:rsidRDefault="007F5B53">
            <w:pPr>
              <w:spacing w:line="346" w:lineRule="exact"/>
              <w:rPr>
                <w:rFonts w:hint="default"/>
              </w:rPr>
            </w:pPr>
            <w:r>
              <w:rPr>
                <w:rFonts w:ascii="ＭＳ ゴシック" w:eastAsia="ＭＳ ゴシック" w:hAnsi="ＭＳ ゴシック"/>
              </w:rPr>
              <w:t>Ⅰ</w:t>
            </w:r>
            <w:r>
              <w:rPr>
                <w:rFonts w:ascii="ＭＳ ゴシック" w:eastAsia="ＭＳ ゴシック" w:hAnsi="ＭＳ ゴシック"/>
                <w:spacing w:val="-1"/>
              </w:rPr>
              <w:t xml:space="preserve">  </w:t>
            </w:r>
            <w:r>
              <w:rPr>
                <w:rFonts w:ascii="ＭＳ ゴシック" w:eastAsia="ＭＳ ゴシック" w:hAnsi="ＭＳ ゴシック"/>
              </w:rPr>
              <w:t>給食職員の健康管理</w:t>
            </w:r>
          </w:p>
        </w:tc>
      </w:tr>
      <w:tr w:rsidR="007F5B53">
        <w:tc>
          <w:tcPr>
            <w:tcW w:w="402" w:type="dxa"/>
            <w:vMerge w:val="restart"/>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１</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rPr>
                <w:sz w:val="24"/>
              </w:rPr>
              <w:t>健康診断を年１回以上受け、結果を保管・管理していますか。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r>
      <w:tr w:rsidR="007F5B53">
        <w:tc>
          <w:tcPr>
            <w:tcW w:w="402" w:type="dxa"/>
            <w:vMerge/>
            <w:tcBorders>
              <w:top w:val="nil"/>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２</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rPr>
                <w:sz w:val="24"/>
              </w:rPr>
              <w:t>検便検査を月１回以上受け、結果を保管・管理していますか。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r>
      <w:tr w:rsidR="007F5B53">
        <w:tc>
          <w:tcPr>
            <w:tcW w:w="9380" w:type="dxa"/>
            <w:gridSpan w:val="5"/>
            <w:tcBorders>
              <w:top w:val="single" w:sz="4" w:space="0" w:color="000000"/>
              <w:left w:val="single" w:sz="4" w:space="0" w:color="000000"/>
              <w:bottom w:val="nil"/>
              <w:right w:val="single" w:sz="4" w:space="0" w:color="000000"/>
            </w:tcBorders>
            <w:tcMar>
              <w:left w:w="49" w:type="dxa"/>
              <w:right w:w="49" w:type="dxa"/>
            </w:tcMar>
          </w:tcPr>
          <w:p w:rsidR="007F5B53" w:rsidRDefault="007F5B53">
            <w:pPr>
              <w:spacing w:line="346" w:lineRule="exact"/>
              <w:rPr>
                <w:rFonts w:hint="default"/>
              </w:rPr>
            </w:pPr>
            <w:r>
              <w:rPr>
                <w:rFonts w:ascii="ＭＳ ゴシック" w:eastAsia="ＭＳ ゴシック" w:hAnsi="ＭＳ ゴシック"/>
              </w:rPr>
              <w:t>Ⅱ</w:t>
            </w:r>
            <w:r>
              <w:rPr>
                <w:rFonts w:ascii="ＭＳ ゴシック" w:eastAsia="ＭＳ ゴシック" w:hAnsi="ＭＳ ゴシック"/>
                <w:spacing w:val="-1"/>
              </w:rPr>
              <w:t xml:space="preserve">  </w:t>
            </w:r>
            <w:r>
              <w:rPr>
                <w:rFonts w:ascii="ＭＳ ゴシック" w:eastAsia="ＭＳ ゴシック" w:hAnsi="ＭＳ ゴシック"/>
              </w:rPr>
              <w:t>食品の交差汚染を防ぐための措置</w:t>
            </w:r>
          </w:p>
        </w:tc>
      </w:tr>
      <w:tr w:rsidR="007F5B53">
        <w:tc>
          <w:tcPr>
            <w:tcW w:w="402" w:type="dxa"/>
            <w:vMerge w:val="restart"/>
            <w:tcBorders>
              <w:top w:val="nil"/>
              <w:left w:val="single" w:sz="4" w:space="0" w:color="000000"/>
              <w:bottom w:val="nil"/>
              <w:right w:val="single" w:sz="4" w:space="0" w:color="000000"/>
            </w:tcBorders>
            <w:tcMar>
              <w:left w:w="49" w:type="dxa"/>
              <w:right w:w="49" w:type="dxa"/>
            </w:tcMar>
          </w:tcPr>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rPr>
                <w:rFonts w:hint="default"/>
              </w:rPr>
            </w:pPr>
          </w:p>
        </w:tc>
        <w:tc>
          <w:tcPr>
            <w:tcW w:w="89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（汚染作業区域と非汚染作業区域の明確な区分）</w:t>
            </w: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３</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ネズミや昆虫の駆除を半年以内に実施し、駆除の記録を１年以上保存していますか。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４</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施設へのネズミや昆虫の進入を防止するための設備に不備はないですか。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５</w:t>
            </w:r>
          </w:p>
          <w:p w:rsidR="007F5B53" w:rsidRDefault="007F5B53">
            <w:pPr>
              <w:rPr>
                <w:rFonts w:hint="default"/>
              </w:rPr>
            </w:pP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下処理から調理場・加工場への移動の際には、外衣、履き物の交換（履き物の交換が困難な場合には、履き物の殺菌）が行われていますか。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６</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便所及び休憩室は、隔壁により食品を取り扱う場所と区分されていますか。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７</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調理施設に部外者が入ったり、不必要な物品が置かれたりしていませんか。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89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（汚染作業と非汚染作業が重ならない取り組み）</w:t>
            </w: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８</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施設の清掃は、全ての食品が調理施設内から完全に搬出された後、適切に実施されていますか。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９</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調理施設内に汚染を持ち込まないよう、下処理を確実に実施していますか。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9380" w:type="dxa"/>
            <w:gridSpan w:val="5"/>
            <w:tcBorders>
              <w:top w:val="single" w:sz="4" w:space="0" w:color="000000"/>
              <w:left w:val="single" w:sz="4" w:space="0" w:color="000000"/>
              <w:bottom w:val="nil"/>
              <w:right w:val="single" w:sz="4" w:space="0" w:color="000000"/>
            </w:tcBorders>
            <w:tcMar>
              <w:left w:w="49" w:type="dxa"/>
              <w:right w:w="49" w:type="dxa"/>
            </w:tcMar>
          </w:tcPr>
          <w:p w:rsidR="007F5B53" w:rsidRDefault="007F5B53">
            <w:pPr>
              <w:spacing w:line="346" w:lineRule="exact"/>
              <w:rPr>
                <w:rFonts w:hint="default"/>
              </w:rPr>
            </w:pPr>
            <w:r>
              <w:rPr>
                <w:rFonts w:ascii="ＭＳ ゴシック" w:eastAsia="ＭＳ ゴシック" w:hAnsi="ＭＳ ゴシック"/>
              </w:rPr>
              <w:t>Ⅲ</w:t>
            </w:r>
            <w:r>
              <w:rPr>
                <w:rFonts w:ascii="ＭＳ ゴシック" w:eastAsia="ＭＳ ゴシック" w:hAnsi="ＭＳ ゴシック"/>
                <w:spacing w:val="-1"/>
              </w:rPr>
              <w:t xml:space="preserve">  </w:t>
            </w:r>
            <w:r>
              <w:rPr>
                <w:rFonts w:ascii="ＭＳ ゴシック" w:eastAsia="ＭＳ ゴシック" w:hAnsi="ＭＳ ゴシック"/>
              </w:rPr>
              <w:t>衛生管理</w:t>
            </w:r>
            <w:r>
              <w:rPr>
                <w:rFonts w:ascii="ＭＳ ゴシック" w:eastAsia="ＭＳ ゴシック" w:hAnsi="ＭＳ ゴシック"/>
                <w:spacing w:val="-1"/>
              </w:rPr>
              <w:t xml:space="preserve">     </w:t>
            </w:r>
          </w:p>
        </w:tc>
      </w:tr>
      <w:tr w:rsidR="007F5B53">
        <w:tc>
          <w:tcPr>
            <w:tcW w:w="402" w:type="dxa"/>
            <w:vMerge w:val="restart"/>
            <w:tcBorders>
              <w:top w:val="nil"/>
              <w:left w:val="single" w:sz="4" w:space="0" w:color="000000"/>
              <w:bottom w:val="nil"/>
              <w:right w:val="single" w:sz="4" w:space="0" w:color="000000"/>
            </w:tcBorders>
            <w:tcMar>
              <w:left w:w="49" w:type="dxa"/>
              <w:right w:w="49" w:type="dxa"/>
            </w:tcMar>
          </w:tcPr>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tc>
        <w:tc>
          <w:tcPr>
            <w:tcW w:w="89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lastRenderedPageBreak/>
              <w:t>（清潔な服装）</w:t>
            </w: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10</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調理従事者は専用の帽子、調理用白衣、マスク及び手袋を着用し、常に清潔にしていますか。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89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（手洗い、衛生的習慣等）</w:t>
            </w: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11</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手洗い設備の石けん、爪ブラシ、ペーパータオル、殺菌液は適切ですか。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12</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作業中は、マニキュア、腕時計、指輪等のアクセサリーを手指に付けていませんか。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13</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各作業区域の入口手前に手洗い設備、履き物の殺菌設備(履き物の交換が困難な場合に限る)が設置されていますか。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89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（調理器具・容器の洗浄・消毒・保管）</w:t>
            </w: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14</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包丁、まな板等の調理器具は、用途別・食品別に用意し、混同しないように使用されていますか。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15</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調理器具、容器等を使用後（必要に応じて使用中）に洗浄・殺菌し、乾燥させていますか。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16</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全ての調理器具、容器等は衛生的に保管されていますか。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r>
      <w:tr w:rsidR="007F5B53">
        <w:tc>
          <w:tcPr>
            <w:tcW w:w="9380" w:type="dxa"/>
            <w:gridSpan w:val="5"/>
            <w:tcBorders>
              <w:top w:val="single" w:sz="4" w:space="0" w:color="000000"/>
              <w:left w:val="single" w:sz="4" w:space="0" w:color="000000"/>
              <w:bottom w:val="nil"/>
              <w:right w:val="single" w:sz="4" w:space="0" w:color="000000"/>
            </w:tcBorders>
            <w:tcMar>
              <w:left w:w="49" w:type="dxa"/>
              <w:right w:w="49" w:type="dxa"/>
            </w:tcMar>
          </w:tcPr>
          <w:p w:rsidR="007F5B53" w:rsidRDefault="007F5B53">
            <w:pPr>
              <w:spacing w:line="346" w:lineRule="exact"/>
              <w:rPr>
                <w:rFonts w:hint="default"/>
              </w:rPr>
            </w:pPr>
            <w:r>
              <w:rPr>
                <w:rFonts w:ascii="ＭＳ ゴシック" w:eastAsia="ＭＳ ゴシック" w:hAnsi="ＭＳ ゴシック"/>
              </w:rPr>
              <w:t>Ⅳ</w:t>
            </w:r>
            <w:r>
              <w:rPr>
                <w:rFonts w:ascii="ＭＳ ゴシック" w:eastAsia="ＭＳ ゴシック" w:hAnsi="ＭＳ ゴシック"/>
                <w:spacing w:val="-1"/>
              </w:rPr>
              <w:t xml:space="preserve">  </w:t>
            </w:r>
            <w:r>
              <w:rPr>
                <w:rFonts w:ascii="ＭＳ ゴシック" w:eastAsia="ＭＳ ゴシック" w:hAnsi="ＭＳ ゴシック"/>
              </w:rPr>
              <w:t>調理</w:t>
            </w:r>
            <w:r>
              <w:rPr>
                <w:rFonts w:ascii="ＭＳ ゴシック" w:eastAsia="ＭＳ ゴシック" w:hAnsi="ＭＳ ゴシック"/>
                <w:spacing w:val="-1"/>
              </w:rPr>
              <w:t xml:space="preserve">    </w:t>
            </w:r>
          </w:p>
        </w:tc>
      </w:tr>
      <w:tr w:rsidR="007F5B53">
        <w:tc>
          <w:tcPr>
            <w:tcW w:w="402" w:type="dxa"/>
            <w:vMerge w:val="restart"/>
            <w:tcBorders>
              <w:top w:val="nil"/>
              <w:left w:val="single" w:sz="4" w:space="0" w:color="000000"/>
              <w:bottom w:val="nil"/>
              <w:right w:val="single" w:sz="4" w:space="0" w:color="000000"/>
            </w:tcBorders>
            <w:tcMar>
              <w:left w:w="49" w:type="dxa"/>
              <w:right w:w="49" w:type="dxa"/>
            </w:tcMar>
          </w:tcPr>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spacing w:line="346" w:lineRule="exact"/>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tc>
        <w:tc>
          <w:tcPr>
            <w:tcW w:w="89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（加熱処理）</w:t>
            </w: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17</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野菜や果実を加熱せずに供する場合には、適切な洗浄（必要に応じて消毒）を実施していますか。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18</w:t>
            </w:r>
          </w:p>
          <w:p w:rsidR="007F5B53" w:rsidRDefault="007F5B53">
            <w:pPr>
              <w:rPr>
                <w:rFonts w:hint="default"/>
              </w:rPr>
            </w:pP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加熱調理食品は、中心部が十分（７５℃、１分間以上）加熱されているかを中心温度計等を使用して確認し、記録をとっていますか。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89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（調理・場所）</w:t>
            </w: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19</w:t>
            </w:r>
          </w:p>
          <w:p w:rsidR="007F5B53" w:rsidRDefault="007F5B53">
            <w:pPr>
              <w:rPr>
                <w:rFonts w:hint="default"/>
              </w:rPr>
            </w:pPr>
          </w:p>
          <w:p w:rsidR="007F5B53" w:rsidRDefault="007F5B53">
            <w:pPr>
              <w:rPr>
                <w:rFonts w:hint="default"/>
              </w:rPr>
            </w:pP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食品及び移動性の調理器具並びに容器の取り扱いは、床面から６０㎝以上の場所（ただし、跳ね水等からの直接汚染が防止できる食缶等で食品を取り扱う場合には、３０㎝以上の台にのせて）で行っ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89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（調理・加工後の適切な温度管理、保管、配食）</w:t>
            </w: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20</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調理後の食品が、温かいものは６５℃以上、冷たいものは１０℃以下で保管されていますか。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21</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食品を放冷する場合、非加熱食品を下処理後、一時保管する場合等に、清潔な場所で行っていますか。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22</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調理・加工後の食品は、衛生的な容器にふたをして保存していますか。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23</w:t>
            </w:r>
          </w:p>
          <w:p w:rsidR="007F5B53" w:rsidRDefault="007F5B53">
            <w:pPr>
              <w:rPr>
                <w:rFonts w:hint="default"/>
              </w:rPr>
            </w:pP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調理後の食品は３０分以内に提供していますか。３０分を越える場合には、適切な温度管理（温冷配膳車、保温食器の利用等による適正な温度管理）が行われていますか。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24</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調理後の食品は、２時間以内に喫食されていますか。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r>
      <w:tr w:rsidR="007F5B53">
        <w:tc>
          <w:tcPr>
            <w:tcW w:w="9380" w:type="dxa"/>
            <w:gridSpan w:val="5"/>
            <w:tcBorders>
              <w:top w:val="single" w:sz="4" w:space="0" w:color="000000"/>
              <w:left w:val="single" w:sz="4" w:space="0" w:color="000000"/>
              <w:bottom w:val="nil"/>
              <w:right w:val="single" w:sz="4" w:space="0" w:color="000000"/>
            </w:tcBorders>
            <w:tcMar>
              <w:left w:w="49" w:type="dxa"/>
              <w:right w:w="49" w:type="dxa"/>
            </w:tcMar>
          </w:tcPr>
          <w:p w:rsidR="007F5B53" w:rsidRDefault="007F5B53">
            <w:pPr>
              <w:spacing w:line="346" w:lineRule="exact"/>
              <w:rPr>
                <w:rFonts w:hint="default"/>
              </w:rPr>
            </w:pPr>
            <w:r>
              <w:rPr>
                <w:rFonts w:ascii="ＭＳ ゴシック" w:eastAsia="ＭＳ ゴシック" w:hAnsi="ＭＳ ゴシック"/>
              </w:rPr>
              <w:t>Ⅴ</w:t>
            </w:r>
            <w:r>
              <w:rPr>
                <w:rFonts w:ascii="ＭＳ ゴシック" w:eastAsia="ＭＳ ゴシック" w:hAnsi="ＭＳ ゴシック"/>
                <w:spacing w:val="-1"/>
              </w:rPr>
              <w:t xml:space="preserve">  </w:t>
            </w:r>
            <w:r>
              <w:rPr>
                <w:rFonts w:ascii="ＭＳ ゴシック" w:eastAsia="ＭＳ ゴシック" w:hAnsi="ＭＳ ゴシック"/>
              </w:rPr>
              <w:t>廃棄物の取り扱い</w:t>
            </w:r>
            <w:r>
              <w:rPr>
                <w:rFonts w:ascii="ＭＳ ゴシック" w:eastAsia="ＭＳ ゴシック" w:hAnsi="ＭＳ ゴシック"/>
                <w:spacing w:val="-1"/>
              </w:rPr>
              <w:t xml:space="preserve"> </w:t>
            </w:r>
            <w:r>
              <w:rPr>
                <w:spacing w:val="-1"/>
              </w:rPr>
              <w:t xml:space="preserve">                    </w:t>
            </w:r>
          </w:p>
        </w:tc>
      </w:tr>
      <w:tr w:rsidR="007F5B53">
        <w:tc>
          <w:tcPr>
            <w:tcW w:w="402" w:type="dxa"/>
            <w:vMerge w:val="restart"/>
            <w:tcBorders>
              <w:top w:val="nil"/>
              <w:left w:val="single" w:sz="4" w:space="0" w:color="000000"/>
              <w:bottom w:val="nil"/>
              <w:right w:val="single" w:sz="4" w:space="0" w:color="000000"/>
            </w:tcBorders>
            <w:tcMar>
              <w:left w:w="49" w:type="dxa"/>
              <w:right w:w="49" w:type="dxa"/>
            </w:tcMar>
          </w:tcPr>
          <w:p w:rsidR="007F5B53" w:rsidRDefault="007F5B53">
            <w:pPr>
              <w:spacing w:line="346" w:lineRule="exact"/>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25</w:t>
            </w:r>
          </w:p>
          <w:p w:rsidR="007F5B53" w:rsidRDefault="007F5B53">
            <w:pPr>
              <w:rPr>
                <w:rFonts w:hint="default"/>
              </w:rPr>
            </w:pP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廃棄物容器は、汚臭、汚液漏れがないように管理するとともに、作業終了後は速やかに清掃し、衛生上支障のないように保持されていますか。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nil"/>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26</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返却された残査は、非汚染作業区域に持ち込まれていませんか。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27</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廃棄物集積場は、廃棄物の搬出後清掃するなど、周囲の環境に悪影響を及ぼさないように管理されていますか。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9380" w:type="dxa"/>
            <w:gridSpan w:val="5"/>
            <w:tcBorders>
              <w:top w:val="single" w:sz="4" w:space="0" w:color="000000"/>
              <w:left w:val="single" w:sz="4" w:space="0" w:color="000000"/>
              <w:bottom w:val="nil"/>
              <w:right w:val="single" w:sz="4" w:space="0" w:color="000000"/>
            </w:tcBorders>
            <w:tcMar>
              <w:left w:w="49" w:type="dxa"/>
              <w:right w:w="49" w:type="dxa"/>
            </w:tcMar>
          </w:tcPr>
          <w:p w:rsidR="007F5B53" w:rsidRDefault="007F5B53">
            <w:pPr>
              <w:spacing w:line="346" w:lineRule="exact"/>
              <w:rPr>
                <w:rFonts w:hint="default"/>
              </w:rPr>
            </w:pPr>
            <w:r>
              <w:rPr>
                <w:rFonts w:ascii="ＭＳ ゴシック" w:eastAsia="ＭＳ ゴシック" w:hAnsi="ＭＳ ゴシック"/>
              </w:rPr>
              <w:t>Ⅵ</w:t>
            </w:r>
            <w:r>
              <w:rPr>
                <w:rFonts w:ascii="ＭＳ ゴシック" w:eastAsia="ＭＳ ゴシック" w:hAnsi="ＭＳ ゴシック"/>
                <w:spacing w:val="-1"/>
              </w:rPr>
              <w:t xml:space="preserve">  </w:t>
            </w:r>
            <w:r>
              <w:rPr>
                <w:rFonts w:ascii="ＭＳ ゴシック" w:eastAsia="ＭＳ ゴシック" w:hAnsi="ＭＳ ゴシック"/>
              </w:rPr>
              <w:t>検食（保存食）の保存</w:t>
            </w:r>
            <w:r>
              <w:rPr>
                <w:spacing w:val="-1"/>
              </w:rPr>
              <w:t xml:space="preserve">                     </w:t>
            </w:r>
          </w:p>
        </w:tc>
      </w:tr>
      <w:tr w:rsidR="007F5B53">
        <w:tc>
          <w:tcPr>
            <w:tcW w:w="402" w:type="dxa"/>
            <w:vMerge w:val="restart"/>
            <w:tcBorders>
              <w:top w:val="nil"/>
              <w:left w:val="single" w:sz="4" w:space="0" w:color="000000"/>
              <w:bottom w:val="nil"/>
              <w:right w:val="single" w:sz="4" w:space="0" w:color="000000"/>
            </w:tcBorders>
            <w:tcMar>
              <w:left w:w="49" w:type="dxa"/>
              <w:right w:w="49" w:type="dxa"/>
            </w:tcMar>
          </w:tcPr>
          <w:p w:rsidR="007F5B53" w:rsidRDefault="007F5B53">
            <w:pPr>
              <w:spacing w:line="346" w:lineRule="exact"/>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28</w:t>
            </w:r>
          </w:p>
          <w:p w:rsidR="007F5B53" w:rsidRDefault="007F5B53">
            <w:pPr>
              <w:rPr>
                <w:rFonts w:hint="default"/>
              </w:rPr>
            </w:pP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原材料及び調理済み食品を、食品ごとに５０グラム程度ずつ清潔な容器（ビニール袋等）に密封して入れ、－２０℃以下で２週間以上保管していますか。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p w:rsidR="007F5B53" w:rsidRDefault="007F5B53">
            <w:pPr>
              <w:rPr>
                <w:rFonts w:hint="default"/>
              </w:rPr>
            </w:pPr>
          </w:p>
        </w:tc>
      </w:tr>
      <w:tr w:rsidR="007F5B53">
        <w:tc>
          <w:tcPr>
            <w:tcW w:w="402" w:type="dxa"/>
            <w:vMerge/>
            <w:tcBorders>
              <w:top w:val="nil"/>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29</w:t>
            </w:r>
          </w:p>
          <w:p w:rsidR="007F5B53" w:rsidRDefault="007F5B53">
            <w:pPr>
              <w:rPr>
                <w:rFonts w:hint="default"/>
              </w:rPr>
            </w:pP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原材料は、特に洗浄・消毒を行わず、購入した状態で保存していますか。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p w:rsidR="007F5B53" w:rsidRDefault="007F5B53">
            <w:pPr>
              <w:rPr>
                <w:rFonts w:hint="default"/>
              </w:rPr>
            </w:pPr>
          </w:p>
        </w:tc>
      </w:tr>
      <w:tr w:rsidR="007F5B53">
        <w:tc>
          <w:tcPr>
            <w:tcW w:w="9380" w:type="dxa"/>
            <w:gridSpan w:val="5"/>
            <w:tcBorders>
              <w:top w:val="single" w:sz="4" w:space="0" w:color="000000"/>
              <w:left w:val="single" w:sz="4" w:space="0" w:color="000000"/>
              <w:bottom w:val="nil"/>
              <w:right w:val="single" w:sz="4" w:space="0" w:color="000000"/>
            </w:tcBorders>
            <w:tcMar>
              <w:left w:w="49" w:type="dxa"/>
              <w:right w:w="49" w:type="dxa"/>
            </w:tcMar>
          </w:tcPr>
          <w:p w:rsidR="007F5B53" w:rsidRDefault="007F5B53">
            <w:pPr>
              <w:spacing w:line="346" w:lineRule="exact"/>
              <w:rPr>
                <w:rFonts w:hint="default"/>
              </w:rPr>
            </w:pPr>
            <w:r>
              <w:rPr>
                <w:rFonts w:ascii="ＭＳ ゴシック" w:eastAsia="ＭＳ ゴシック" w:hAnsi="ＭＳ ゴシック"/>
              </w:rPr>
              <w:t>Ⅶ</w:t>
            </w:r>
            <w:r>
              <w:rPr>
                <w:rFonts w:ascii="ＭＳ ゴシック" w:eastAsia="ＭＳ ゴシック" w:hAnsi="ＭＳ ゴシック"/>
                <w:spacing w:val="-1"/>
              </w:rPr>
              <w:t xml:space="preserve">  </w:t>
            </w:r>
            <w:r>
              <w:rPr>
                <w:rFonts w:ascii="ＭＳ ゴシック" w:eastAsia="ＭＳ ゴシック" w:hAnsi="ＭＳ ゴシック"/>
              </w:rPr>
              <w:t>研修の実施</w:t>
            </w:r>
            <w:r>
              <w:rPr>
                <w:rFonts w:ascii="ＭＳ ゴシック" w:eastAsia="ＭＳ ゴシック" w:hAnsi="ＭＳ ゴシック"/>
                <w:spacing w:val="-1"/>
              </w:rPr>
              <w:t xml:space="preserve">         </w:t>
            </w:r>
            <w:r>
              <w:rPr>
                <w:spacing w:val="-1"/>
              </w:rPr>
              <w:t xml:space="preserve">           </w:t>
            </w:r>
          </w:p>
        </w:tc>
      </w:tr>
      <w:tr w:rsidR="007F5B53">
        <w:tc>
          <w:tcPr>
            <w:tcW w:w="402" w:type="dxa"/>
            <w:tcBorders>
              <w:top w:val="nil"/>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c>
          <w:tcPr>
            <w:tcW w:w="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30</w:t>
            </w:r>
          </w:p>
        </w:tc>
        <w:tc>
          <w:tcPr>
            <w:tcW w:w="7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spacing w:line="346" w:lineRule="exact"/>
              <w:rPr>
                <w:rFonts w:hint="default"/>
              </w:rPr>
            </w:pPr>
            <w:r>
              <w:t>調理従事者に対する研修を定期的に実施していますか。</w:t>
            </w: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c>
          <w:tcPr>
            <w:tcW w:w="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5B53" w:rsidRDefault="007F5B53">
            <w:pPr>
              <w:rPr>
                <w:rFonts w:hint="default"/>
              </w:rPr>
            </w:pPr>
          </w:p>
        </w:tc>
      </w:tr>
    </w:tbl>
    <w:p w:rsidR="007F5B53" w:rsidRDefault="007F5B53">
      <w:pPr>
        <w:rPr>
          <w:rFonts w:hint="default"/>
        </w:rPr>
      </w:pPr>
    </w:p>
    <w:sectPr w:rsidR="007F5B53">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397" w:footer="0" w:gutter="0"/>
      <w:cols w:space="720"/>
      <w:docGrid w:type="linesAndChars" w:linePitch="346" w:charSpace="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739" w:rsidRDefault="00762739">
      <w:pPr>
        <w:spacing w:before="874"/>
        <w:rPr>
          <w:rFonts w:hint="default"/>
        </w:rPr>
      </w:pPr>
      <w:r>
        <w:continuationSeparator/>
      </w:r>
    </w:p>
  </w:endnote>
  <w:endnote w:type="continuationSeparator" w:id="0">
    <w:p w:rsidR="00762739" w:rsidRDefault="00762739">
      <w:pPr>
        <w:spacing w:before="8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E6A" w:rsidRDefault="00823E6A">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E6A" w:rsidRDefault="00823E6A">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E6A" w:rsidRDefault="00823E6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739" w:rsidRDefault="00762739">
      <w:pPr>
        <w:spacing w:before="874"/>
        <w:rPr>
          <w:rFonts w:hint="default"/>
        </w:rPr>
      </w:pPr>
      <w:r>
        <w:continuationSeparator/>
      </w:r>
    </w:p>
  </w:footnote>
  <w:footnote w:type="continuationSeparator" w:id="0">
    <w:p w:rsidR="00762739" w:rsidRDefault="00762739">
      <w:pPr>
        <w:spacing w:before="87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E6A" w:rsidRDefault="00823E6A">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E6A" w:rsidRDefault="00823E6A">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E6A" w:rsidRDefault="00823E6A">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1056"/>
  <w:hyphenationZone w:val="0"/>
  <w:drawingGridHorizontalSpacing w:val="466"/>
  <w:drawingGridVerticalSpacing w:val="346"/>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17"/>
    <w:rsid w:val="00762739"/>
    <w:rsid w:val="007F5B53"/>
    <w:rsid w:val="00823E6A"/>
    <w:rsid w:val="00CA6384"/>
    <w:rsid w:val="00D46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E6A"/>
    <w:pPr>
      <w:tabs>
        <w:tab w:val="center" w:pos="4252"/>
        <w:tab w:val="right" w:pos="8504"/>
      </w:tabs>
      <w:snapToGrid w:val="0"/>
    </w:pPr>
  </w:style>
  <w:style w:type="character" w:customStyle="1" w:styleId="a4">
    <w:name w:val="ヘッダー (文字)"/>
    <w:basedOn w:val="a0"/>
    <w:link w:val="a3"/>
    <w:uiPriority w:val="99"/>
    <w:rsid w:val="00823E6A"/>
    <w:rPr>
      <w:color w:val="000000"/>
      <w:sz w:val="26"/>
    </w:rPr>
  </w:style>
  <w:style w:type="paragraph" w:styleId="a5">
    <w:name w:val="footer"/>
    <w:basedOn w:val="a"/>
    <w:link w:val="a6"/>
    <w:uiPriority w:val="99"/>
    <w:unhideWhenUsed/>
    <w:rsid w:val="00823E6A"/>
    <w:pPr>
      <w:tabs>
        <w:tab w:val="center" w:pos="4252"/>
        <w:tab w:val="right" w:pos="8504"/>
      </w:tabs>
      <w:snapToGrid w:val="0"/>
    </w:pPr>
  </w:style>
  <w:style w:type="character" w:customStyle="1" w:styleId="a6">
    <w:name w:val="フッター (文字)"/>
    <w:basedOn w:val="a0"/>
    <w:link w:val="a5"/>
    <w:uiPriority w:val="99"/>
    <w:rsid w:val="00823E6A"/>
    <w:rPr>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2024-03-27T02:42:00Z</dcterms:created>
  <dcterms:modified xsi:type="dcterms:W3CDTF">2024-03-27T02:42:00Z</dcterms:modified>
</cp:coreProperties>
</file>