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39A" w:rsidRPr="00221A58" w:rsidRDefault="009F5FF0" w:rsidP="00221A58">
      <w:pPr>
        <w:jc w:val="center"/>
        <w:rPr>
          <w:rFonts w:ascii="ＭＳ ゴシック" w:eastAsia="ＭＳ ゴシック" w:hAnsi="ＭＳ ゴシック"/>
          <w:sz w:val="24"/>
        </w:rPr>
      </w:pPr>
      <w:r w:rsidRPr="00221A58">
        <w:rPr>
          <w:rFonts w:ascii="ＭＳ ゴシック" w:eastAsia="ＭＳ ゴシック" w:hAnsi="ＭＳ ゴシック" w:hint="eastAsia"/>
          <w:sz w:val="24"/>
        </w:rPr>
        <w:t>各教科等学習指導案（項目）</w:t>
      </w:r>
    </w:p>
    <w:p w:rsidR="00221A58" w:rsidRDefault="00221A58" w:rsidP="00221A58">
      <w:pPr>
        <w:ind w:left="193" w:hangingChars="100" w:hanging="193"/>
        <w:rPr>
          <w:rFonts w:ascii="ＭＳ 明朝" w:eastAsia="ＭＳ 明朝" w:hAnsi="ＭＳ 明朝"/>
        </w:rPr>
      </w:pPr>
    </w:p>
    <w:p w:rsidR="009F5FF0" w:rsidRDefault="009F5FF0" w:rsidP="00221A58">
      <w:pPr>
        <w:ind w:left="193" w:hangingChars="100" w:hanging="193"/>
        <w:rPr>
          <w:rFonts w:ascii="ＭＳ 明朝" w:eastAsia="ＭＳ 明朝" w:hAnsi="ＭＳ 明朝"/>
        </w:rPr>
      </w:pPr>
      <w:r>
        <w:rPr>
          <w:rFonts w:ascii="ＭＳ 明朝" w:eastAsia="ＭＳ 明朝" w:hAnsi="ＭＳ 明朝"/>
        </w:rPr>
        <w:t>※各教科等に共通している項目で</w:t>
      </w:r>
      <w:r w:rsidR="00B43A61">
        <w:rPr>
          <w:rFonts w:ascii="ＭＳ 明朝" w:eastAsia="ＭＳ 明朝" w:hAnsi="ＭＳ 明朝" w:hint="eastAsia"/>
        </w:rPr>
        <w:t>す</w:t>
      </w:r>
      <w:r>
        <w:rPr>
          <w:rFonts w:ascii="ＭＳ 明朝" w:eastAsia="ＭＳ 明朝" w:hAnsi="ＭＳ 明朝"/>
        </w:rPr>
        <w:t>。</w:t>
      </w:r>
      <w:r w:rsidR="00221A58">
        <w:rPr>
          <w:rFonts w:ascii="ＭＳ 明朝" w:eastAsia="ＭＳ 明朝" w:hAnsi="ＭＳ 明朝"/>
        </w:rPr>
        <w:t>指導案を作成する際には、</w:t>
      </w:r>
      <w:r w:rsidR="00221A58">
        <w:rPr>
          <w:rFonts w:ascii="ＭＳ 明朝" w:eastAsia="ＭＳ 明朝" w:hAnsi="ＭＳ 明朝" w:hint="eastAsia"/>
        </w:rPr>
        <w:t>各教科等の指導案例を参考に</w:t>
      </w:r>
      <w:r w:rsidR="00B43A61">
        <w:rPr>
          <w:rFonts w:ascii="ＭＳ 明朝" w:eastAsia="ＭＳ 明朝" w:hAnsi="ＭＳ 明朝" w:hint="eastAsia"/>
        </w:rPr>
        <w:t>してください。</w:t>
      </w:r>
    </w:p>
    <w:p w:rsidR="009F5FF0" w:rsidRPr="009F5FF0" w:rsidRDefault="009F5FF0">
      <w:pPr>
        <w:rPr>
          <w:rFonts w:ascii="ＭＳ 明朝" w:eastAsia="ＭＳ 明朝" w:hAnsi="ＭＳ 明朝"/>
        </w:rPr>
      </w:pPr>
    </w:p>
    <w:p w:rsidR="009F5FF0" w:rsidRPr="00221A58" w:rsidRDefault="009F5FF0">
      <w:pPr>
        <w:rPr>
          <w:rFonts w:ascii="ＭＳ ゴシック" w:eastAsia="ＭＳ ゴシック" w:hAnsi="ＭＳ ゴシック"/>
        </w:rPr>
      </w:pPr>
      <w:r w:rsidRPr="00221A58">
        <w:rPr>
          <w:rFonts w:ascii="ＭＳ ゴシック" w:eastAsia="ＭＳ ゴシック" w:hAnsi="ＭＳ ゴシック" w:hint="eastAsia"/>
        </w:rPr>
        <w:t>１　単元（題材）名</w:t>
      </w:r>
    </w:p>
    <w:p w:rsidR="009F5FF0" w:rsidRPr="009F5FF0" w:rsidRDefault="009F5FF0">
      <w:pPr>
        <w:rPr>
          <w:rFonts w:ascii="ＭＳ 明朝" w:eastAsia="ＭＳ 明朝" w:hAnsi="ＭＳ 明朝"/>
        </w:rPr>
      </w:pPr>
    </w:p>
    <w:p w:rsidR="009F5FF0" w:rsidRPr="00221A58" w:rsidRDefault="009F5FF0">
      <w:pPr>
        <w:rPr>
          <w:rFonts w:ascii="ＭＳ ゴシック" w:eastAsia="ＭＳ ゴシック" w:hAnsi="ＭＳ ゴシック"/>
        </w:rPr>
      </w:pPr>
      <w:r w:rsidRPr="00221A58">
        <w:rPr>
          <w:rFonts w:ascii="ＭＳ ゴシック" w:eastAsia="ＭＳ ゴシック" w:hAnsi="ＭＳ ゴシック" w:hint="eastAsia"/>
        </w:rPr>
        <w:t>２　単元（題材）設定の理由</w:t>
      </w:r>
    </w:p>
    <w:p w:rsidR="009F5FF0" w:rsidRPr="00221A58" w:rsidRDefault="009F5FF0" w:rsidP="009F5FF0">
      <w:pPr>
        <w:pStyle w:val="a3"/>
        <w:numPr>
          <w:ilvl w:val="0"/>
          <w:numId w:val="1"/>
        </w:numPr>
        <w:ind w:leftChars="0"/>
        <w:rPr>
          <w:rFonts w:ascii="ＭＳ ゴシック" w:eastAsia="ＭＳ ゴシック" w:hAnsi="ＭＳ ゴシック"/>
        </w:rPr>
      </w:pPr>
      <w:r w:rsidRPr="00221A58">
        <w:rPr>
          <w:rFonts w:ascii="ＭＳ ゴシック" w:eastAsia="ＭＳ ゴシック" w:hAnsi="ＭＳ ゴシック" w:hint="eastAsia"/>
        </w:rPr>
        <w:t>児童生徒について</w:t>
      </w:r>
    </w:p>
    <w:p w:rsidR="009F5FF0" w:rsidRPr="00221A58" w:rsidRDefault="009F5FF0" w:rsidP="009F5FF0">
      <w:pPr>
        <w:pStyle w:val="a3"/>
        <w:numPr>
          <w:ilvl w:val="0"/>
          <w:numId w:val="1"/>
        </w:numPr>
        <w:ind w:leftChars="0"/>
        <w:rPr>
          <w:rFonts w:ascii="ＭＳ ゴシック" w:eastAsia="ＭＳ ゴシック" w:hAnsi="ＭＳ ゴシック"/>
        </w:rPr>
      </w:pPr>
      <w:r w:rsidRPr="00221A58">
        <w:rPr>
          <w:rFonts w:ascii="ＭＳ ゴシック" w:eastAsia="ＭＳ ゴシック" w:hAnsi="ＭＳ ゴシック" w:hint="eastAsia"/>
        </w:rPr>
        <w:t>教材（題材）について</w:t>
      </w:r>
    </w:p>
    <w:p w:rsidR="009F5FF0" w:rsidRPr="00221A58" w:rsidRDefault="009F5FF0" w:rsidP="009F5FF0">
      <w:pPr>
        <w:pStyle w:val="a3"/>
        <w:numPr>
          <w:ilvl w:val="0"/>
          <w:numId w:val="1"/>
        </w:numPr>
        <w:ind w:leftChars="0"/>
        <w:rPr>
          <w:rFonts w:ascii="ＭＳ ゴシック" w:eastAsia="ＭＳ ゴシック" w:hAnsi="ＭＳ ゴシック"/>
        </w:rPr>
      </w:pPr>
      <w:r w:rsidRPr="00221A58">
        <w:rPr>
          <w:rFonts w:ascii="ＭＳ ゴシック" w:eastAsia="ＭＳ ゴシック" w:hAnsi="ＭＳ ゴシック" w:hint="eastAsia"/>
        </w:rPr>
        <w:t>指導について</w:t>
      </w:r>
    </w:p>
    <w:p w:rsidR="00B43A61" w:rsidRDefault="00B43A61" w:rsidP="009F5FF0">
      <w:pPr>
        <w:ind w:left="210"/>
        <w:rPr>
          <w:rFonts w:ascii="ＭＳ 明朝" w:eastAsia="ＭＳ 明朝" w:hAnsi="ＭＳ 明朝"/>
        </w:rPr>
      </w:pPr>
      <w:r>
        <w:rPr>
          <w:rFonts w:ascii="ＭＳ 明朝" w:eastAsia="ＭＳ 明朝" w:hAnsi="ＭＳ 明朝" w:hint="eastAsia"/>
        </w:rPr>
        <w:t>※各教科等の例を参考にしてください。</w:t>
      </w:r>
    </w:p>
    <w:p w:rsidR="009F5FF0" w:rsidRPr="00B43A61" w:rsidRDefault="00B43A61" w:rsidP="009F5FF0">
      <w:pPr>
        <w:ind w:left="210"/>
        <w:rPr>
          <w:rFonts w:ascii="ＭＳ 明朝" w:eastAsia="ＭＳ 明朝" w:hAnsi="ＭＳ 明朝"/>
          <w:color w:val="FF0000"/>
          <w:u w:val="single"/>
        </w:rPr>
      </w:pPr>
      <w:r w:rsidRPr="00B43A61">
        <w:rPr>
          <w:rFonts w:ascii="ＭＳ 明朝" w:eastAsia="ＭＳ 明朝" w:hAnsi="ＭＳ 明朝" w:hint="eastAsia"/>
          <w:color w:val="FF0000"/>
          <w:u w:val="single"/>
        </w:rPr>
        <w:t>※教科等の特質により、（１）～（３）の順が異なる場合があります。</w:t>
      </w:r>
    </w:p>
    <w:p w:rsidR="009F5FF0" w:rsidRPr="009F5FF0" w:rsidRDefault="009F5FF0" w:rsidP="009F5FF0">
      <w:pPr>
        <w:rPr>
          <w:rFonts w:ascii="ＭＳ 明朝" w:eastAsia="ＭＳ 明朝" w:hAnsi="ＭＳ 明朝"/>
        </w:rPr>
      </w:pPr>
    </w:p>
    <w:p w:rsidR="009F5FF0" w:rsidRPr="00221A58" w:rsidRDefault="009F5FF0" w:rsidP="009F5FF0">
      <w:pPr>
        <w:rPr>
          <w:rFonts w:ascii="ＭＳ ゴシック" w:eastAsia="ＭＳ ゴシック" w:hAnsi="ＭＳ ゴシック"/>
        </w:rPr>
      </w:pPr>
      <w:r w:rsidRPr="00221A58">
        <w:rPr>
          <w:rFonts w:ascii="ＭＳ ゴシック" w:eastAsia="ＭＳ ゴシック" w:hAnsi="ＭＳ ゴシック" w:hint="eastAsia"/>
        </w:rPr>
        <w:t>３　単元の目標</w:t>
      </w:r>
    </w:p>
    <w:p w:rsidR="009F5FF0" w:rsidRPr="009F5FF0" w:rsidRDefault="009F5FF0" w:rsidP="00A47A4F">
      <w:pPr>
        <w:ind w:left="386" w:hangingChars="200" w:hanging="386"/>
        <w:rPr>
          <w:rFonts w:ascii="ＭＳ 明朝" w:eastAsia="ＭＳ 明朝" w:hAnsi="ＭＳ 明朝"/>
        </w:rPr>
      </w:pPr>
      <w:r w:rsidRPr="009F5FF0">
        <w:rPr>
          <w:rFonts w:ascii="ＭＳ 明朝" w:eastAsia="ＭＳ 明朝" w:hAnsi="ＭＳ 明朝" w:hint="eastAsia"/>
        </w:rPr>
        <w:t xml:space="preserve">　※</w:t>
      </w:r>
      <w:r w:rsidR="00A47A4F">
        <w:rPr>
          <w:rFonts w:ascii="ＭＳ 明朝" w:eastAsia="ＭＳ 明朝" w:hAnsi="ＭＳ 明朝" w:hint="eastAsia"/>
        </w:rPr>
        <w:t>単元の目標を作成するに当たっては、</w:t>
      </w:r>
      <w:r w:rsidR="00B6383D">
        <w:rPr>
          <w:rFonts w:ascii="ＭＳ 明朝" w:eastAsia="ＭＳ 明朝" w:hAnsi="ＭＳ 明朝" w:hint="eastAsia"/>
        </w:rPr>
        <w:t>本県が</w:t>
      </w:r>
      <w:r w:rsidR="00A47A4F">
        <w:rPr>
          <w:rFonts w:ascii="ＭＳ 明朝" w:eastAsia="ＭＳ 明朝" w:hAnsi="ＭＳ 明朝" w:hint="eastAsia"/>
        </w:rPr>
        <w:t>新大分スタンダードに基づいた授業改善を推進していることを踏まえ、</w:t>
      </w:r>
      <w:r w:rsidR="00A47A4F" w:rsidRPr="00A47A4F">
        <w:rPr>
          <w:rFonts w:ascii="ＭＳ ゴシック" w:eastAsia="ＭＳ ゴシック" w:hAnsi="ＭＳ ゴシック" w:hint="eastAsia"/>
          <w:u w:val="single"/>
        </w:rPr>
        <w:t>指導者の指導の意図や育成を目指す資質・能力を明確にする</w:t>
      </w:r>
      <w:r w:rsidR="00A47A4F">
        <w:rPr>
          <w:rFonts w:ascii="ＭＳ 明朝" w:eastAsia="ＭＳ 明朝" w:hAnsi="ＭＳ 明朝" w:hint="eastAsia"/>
        </w:rPr>
        <w:t>ため、指導者の立場で記述する</w:t>
      </w:r>
      <w:r w:rsidR="00B43A61">
        <w:rPr>
          <w:rFonts w:ascii="ＭＳ 明朝" w:eastAsia="ＭＳ 明朝" w:hAnsi="ＭＳ 明朝" w:hint="eastAsia"/>
        </w:rPr>
        <w:t>ようにします</w:t>
      </w:r>
      <w:r w:rsidR="00A47A4F">
        <w:rPr>
          <w:rFonts w:ascii="ＭＳ 明朝" w:eastAsia="ＭＳ 明朝" w:hAnsi="ＭＳ 明朝" w:hint="eastAsia"/>
        </w:rPr>
        <w:t>。</w:t>
      </w:r>
    </w:p>
    <w:p w:rsidR="009F5FF0" w:rsidRDefault="00221A58" w:rsidP="009F5FF0">
      <w:pPr>
        <w:ind w:left="386" w:hangingChars="200" w:hanging="386"/>
        <w:rPr>
          <w:rFonts w:ascii="ＭＳ 明朝" w:eastAsia="ＭＳ 明朝" w:hAnsi="ＭＳ 明朝"/>
        </w:rPr>
      </w:pPr>
      <w:r>
        <w:rPr>
          <w:rFonts w:ascii="ＭＳ 明朝" w:eastAsia="ＭＳ 明朝" w:hAnsi="ＭＳ 明朝" w:hint="eastAsia"/>
        </w:rPr>
        <w:t xml:space="preserve">　※</w:t>
      </w:r>
      <w:r w:rsidR="00A47A4F">
        <w:rPr>
          <w:rFonts w:ascii="ＭＳ 明朝" w:eastAsia="ＭＳ 明朝" w:hAnsi="ＭＳ 明朝" w:hint="eastAsia"/>
        </w:rPr>
        <w:t>単元の目標は、</w:t>
      </w:r>
      <w:r>
        <w:rPr>
          <w:rFonts w:ascii="ＭＳ 明朝" w:eastAsia="ＭＳ 明朝" w:hAnsi="ＭＳ 明朝" w:hint="eastAsia"/>
        </w:rPr>
        <w:t>一文で書く</w:t>
      </w:r>
      <w:r w:rsidR="00A47A4F">
        <w:rPr>
          <w:rFonts w:ascii="ＭＳ 明朝" w:eastAsia="ＭＳ 明朝" w:hAnsi="ＭＳ 明朝" w:hint="eastAsia"/>
        </w:rPr>
        <w:t>場合と</w:t>
      </w:r>
      <w:r>
        <w:rPr>
          <w:rFonts w:ascii="ＭＳ 明朝" w:eastAsia="ＭＳ 明朝" w:hAnsi="ＭＳ 明朝" w:hint="eastAsia"/>
        </w:rPr>
        <w:t>、資質・能力の三つの柱に即して三つで書く</w:t>
      </w:r>
      <w:r w:rsidR="00A47A4F">
        <w:rPr>
          <w:rFonts w:ascii="ＭＳ 明朝" w:eastAsia="ＭＳ 明朝" w:hAnsi="ＭＳ 明朝" w:hint="eastAsia"/>
        </w:rPr>
        <w:t>場合が</w:t>
      </w:r>
      <w:r>
        <w:rPr>
          <w:rFonts w:ascii="ＭＳ 明朝" w:eastAsia="ＭＳ 明朝" w:hAnsi="ＭＳ 明朝" w:hint="eastAsia"/>
        </w:rPr>
        <w:t>あ</w:t>
      </w:r>
      <w:r w:rsidR="00B43A61">
        <w:rPr>
          <w:rFonts w:ascii="ＭＳ 明朝" w:eastAsia="ＭＳ 明朝" w:hAnsi="ＭＳ 明朝" w:hint="eastAsia"/>
        </w:rPr>
        <w:t>ります</w:t>
      </w:r>
      <w:r>
        <w:rPr>
          <w:rFonts w:ascii="ＭＳ 明朝" w:eastAsia="ＭＳ 明朝" w:hAnsi="ＭＳ 明朝" w:hint="eastAsia"/>
        </w:rPr>
        <w:t>。</w:t>
      </w:r>
    </w:p>
    <w:p w:rsidR="00221A58" w:rsidRPr="009F5FF0" w:rsidRDefault="00221A58" w:rsidP="009F5FF0">
      <w:pPr>
        <w:ind w:left="386" w:hangingChars="200" w:hanging="386"/>
        <w:rPr>
          <w:rFonts w:ascii="ＭＳ 明朝" w:eastAsia="ＭＳ 明朝" w:hAnsi="ＭＳ 明朝"/>
        </w:rPr>
      </w:pPr>
    </w:p>
    <w:p w:rsidR="009F5FF0" w:rsidRPr="00221A58" w:rsidRDefault="009F5FF0" w:rsidP="009F5FF0">
      <w:pPr>
        <w:ind w:left="386" w:hangingChars="200" w:hanging="386"/>
        <w:rPr>
          <w:rFonts w:ascii="ＭＳ ゴシック" w:eastAsia="ＭＳ ゴシック" w:hAnsi="ＭＳ ゴシック"/>
        </w:rPr>
      </w:pPr>
      <w:r w:rsidRPr="00221A58">
        <w:rPr>
          <w:rFonts w:ascii="ＭＳ ゴシック" w:eastAsia="ＭＳ ゴシック" w:hAnsi="ＭＳ ゴシック" w:hint="eastAsia"/>
        </w:rPr>
        <w:t>４　単元（題材）の評価規準</w:t>
      </w:r>
    </w:p>
    <w:tbl>
      <w:tblPr>
        <w:tblStyle w:val="a4"/>
        <w:tblW w:w="8931" w:type="dxa"/>
        <w:tblInd w:w="420" w:type="dxa"/>
        <w:tblLook w:val="04A0" w:firstRow="1" w:lastRow="0" w:firstColumn="1" w:lastColumn="0" w:noHBand="0" w:noVBand="1"/>
      </w:tblPr>
      <w:tblGrid>
        <w:gridCol w:w="2946"/>
        <w:gridCol w:w="2923"/>
        <w:gridCol w:w="3062"/>
      </w:tblGrid>
      <w:tr w:rsidR="009F5FF0" w:rsidRPr="009F5FF0" w:rsidTr="00221A58">
        <w:tc>
          <w:tcPr>
            <w:tcW w:w="2946" w:type="dxa"/>
          </w:tcPr>
          <w:p w:rsidR="009F5FF0" w:rsidRPr="00221A58" w:rsidRDefault="009F5FF0" w:rsidP="009F5FF0">
            <w:pPr>
              <w:jc w:val="center"/>
              <w:rPr>
                <w:rFonts w:ascii="ＭＳ ゴシック" w:eastAsia="ＭＳ ゴシック" w:hAnsi="ＭＳ ゴシック"/>
              </w:rPr>
            </w:pPr>
            <w:r w:rsidRPr="00221A58">
              <w:rPr>
                <w:rFonts w:ascii="ＭＳ ゴシック" w:eastAsia="ＭＳ ゴシック" w:hAnsi="ＭＳ ゴシック" w:hint="eastAsia"/>
              </w:rPr>
              <w:t>知識・技能</w:t>
            </w:r>
          </w:p>
        </w:tc>
        <w:tc>
          <w:tcPr>
            <w:tcW w:w="2923" w:type="dxa"/>
          </w:tcPr>
          <w:p w:rsidR="009F5FF0" w:rsidRPr="00221A58" w:rsidRDefault="009F5FF0" w:rsidP="009F5FF0">
            <w:pPr>
              <w:jc w:val="center"/>
              <w:rPr>
                <w:rFonts w:ascii="ＭＳ ゴシック" w:eastAsia="ＭＳ ゴシック" w:hAnsi="ＭＳ ゴシック"/>
              </w:rPr>
            </w:pPr>
            <w:r w:rsidRPr="00221A58">
              <w:rPr>
                <w:rFonts w:ascii="ＭＳ ゴシック" w:eastAsia="ＭＳ ゴシック" w:hAnsi="ＭＳ ゴシック" w:hint="eastAsia"/>
              </w:rPr>
              <w:t>思考・判断・表現</w:t>
            </w:r>
          </w:p>
        </w:tc>
        <w:tc>
          <w:tcPr>
            <w:tcW w:w="3062" w:type="dxa"/>
          </w:tcPr>
          <w:p w:rsidR="009F5FF0" w:rsidRPr="00221A58" w:rsidRDefault="009F5FF0" w:rsidP="009F5FF0">
            <w:pPr>
              <w:jc w:val="center"/>
              <w:rPr>
                <w:rFonts w:ascii="ＭＳ ゴシック" w:eastAsia="ＭＳ ゴシック" w:hAnsi="ＭＳ ゴシック"/>
              </w:rPr>
            </w:pPr>
            <w:r w:rsidRPr="00221A58">
              <w:rPr>
                <w:rFonts w:ascii="ＭＳ ゴシック" w:eastAsia="ＭＳ ゴシック" w:hAnsi="ＭＳ ゴシック" w:hint="eastAsia"/>
              </w:rPr>
              <w:t>主体的に学習に取り組む態度</w:t>
            </w:r>
          </w:p>
        </w:tc>
      </w:tr>
      <w:tr w:rsidR="009F5FF0" w:rsidRPr="009F5FF0" w:rsidTr="00221A58">
        <w:tc>
          <w:tcPr>
            <w:tcW w:w="2946" w:type="dxa"/>
          </w:tcPr>
          <w:p w:rsidR="009F5FF0" w:rsidRPr="009D67DC" w:rsidRDefault="00221A58" w:rsidP="009D67DC">
            <w:pPr>
              <w:pStyle w:val="a3"/>
              <w:numPr>
                <w:ilvl w:val="0"/>
                <w:numId w:val="3"/>
              </w:numPr>
              <w:ind w:leftChars="0"/>
              <w:jc w:val="left"/>
              <w:rPr>
                <w:rFonts w:ascii="ＭＳ 明朝" w:eastAsia="ＭＳ 明朝" w:hAnsi="ＭＳ 明朝"/>
              </w:rPr>
            </w:pPr>
            <w:r w:rsidRPr="009D67DC">
              <w:rPr>
                <w:rFonts w:ascii="ＭＳ 明朝" w:eastAsia="ＭＳ 明朝" w:hAnsi="ＭＳ 明朝" w:hint="eastAsia"/>
              </w:rPr>
              <w:t>・・・・・・・・・・・</w:t>
            </w:r>
          </w:p>
          <w:p w:rsidR="00221A58" w:rsidRPr="009D67DC" w:rsidRDefault="00221A58" w:rsidP="009F5FF0">
            <w:pPr>
              <w:jc w:val="left"/>
              <w:rPr>
                <w:rFonts w:ascii="ＭＳ 明朝" w:eastAsia="ＭＳ 明朝" w:hAnsi="ＭＳ 明朝"/>
              </w:rPr>
            </w:pPr>
            <w:r w:rsidRPr="009D67DC">
              <w:rPr>
                <w:rFonts w:ascii="ＭＳ 明朝" w:eastAsia="ＭＳ 明朝" w:hAnsi="ＭＳ 明朝" w:hint="eastAsia"/>
              </w:rPr>
              <w:t>②・・・・・・・・・・・・</w:t>
            </w:r>
          </w:p>
          <w:p w:rsidR="009F5FF0" w:rsidRPr="009D67DC" w:rsidRDefault="00221A58" w:rsidP="009D67DC">
            <w:pPr>
              <w:pStyle w:val="a3"/>
              <w:numPr>
                <w:ilvl w:val="0"/>
                <w:numId w:val="3"/>
              </w:numPr>
              <w:ind w:leftChars="0"/>
              <w:jc w:val="left"/>
              <w:rPr>
                <w:rFonts w:ascii="ＭＳ 明朝" w:eastAsia="ＭＳ 明朝" w:hAnsi="ＭＳ 明朝"/>
              </w:rPr>
            </w:pPr>
            <w:r w:rsidRPr="009D67DC">
              <w:rPr>
                <w:rFonts w:ascii="ＭＳ 明朝" w:eastAsia="ＭＳ 明朝" w:hAnsi="ＭＳ 明朝" w:hint="eastAsia"/>
              </w:rPr>
              <w:t>・・・・・・・・・・・・</w:t>
            </w:r>
          </w:p>
        </w:tc>
        <w:tc>
          <w:tcPr>
            <w:tcW w:w="2923" w:type="dxa"/>
          </w:tcPr>
          <w:p w:rsidR="00221A58" w:rsidRPr="009D67DC" w:rsidRDefault="00221A58" w:rsidP="009D67DC">
            <w:pPr>
              <w:pStyle w:val="a3"/>
              <w:numPr>
                <w:ilvl w:val="0"/>
                <w:numId w:val="4"/>
              </w:numPr>
              <w:ind w:leftChars="0"/>
              <w:jc w:val="left"/>
              <w:rPr>
                <w:rFonts w:ascii="ＭＳ 明朝" w:eastAsia="ＭＳ 明朝" w:hAnsi="ＭＳ 明朝"/>
              </w:rPr>
            </w:pPr>
            <w:r w:rsidRPr="009D67DC">
              <w:rPr>
                <w:rFonts w:ascii="ＭＳ 明朝" w:eastAsia="ＭＳ 明朝" w:hAnsi="ＭＳ 明朝" w:hint="eastAsia"/>
              </w:rPr>
              <w:t>・・・・・・・・・・・</w:t>
            </w:r>
          </w:p>
          <w:p w:rsidR="00221A58" w:rsidRPr="009D67DC" w:rsidRDefault="00221A58" w:rsidP="00221A58">
            <w:pPr>
              <w:jc w:val="left"/>
              <w:rPr>
                <w:rFonts w:ascii="ＭＳ 明朝" w:eastAsia="ＭＳ 明朝" w:hAnsi="ＭＳ 明朝"/>
              </w:rPr>
            </w:pPr>
            <w:r w:rsidRPr="009D67DC">
              <w:rPr>
                <w:rFonts w:ascii="ＭＳ 明朝" w:eastAsia="ＭＳ 明朝" w:hAnsi="ＭＳ 明朝" w:hint="eastAsia"/>
              </w:rPr>
              <w:t>②・・・・・・・・・・・・</w:t>
            </w:r>
          </w:p>
          <w:p w:rsidR="009F5FF0" w:rsidRPr="009D67DC" w:rsidRDefault="00221A58" w:rsidP="009D67DC">
            <w:pPr>
              <w:pStyle w:val="a3"/>
              <w:numPr>
                <w:ilvl w:val="0"/>
                <w:numId w:val="4"/>
              </w:numPr>
              <w:ind w:leftChars="0"/>
              <w:jc w:val="left"/>
              <w:rPr>
                <w:rFonts w:ascii="ＭＳ 明朝" w:eastAsia="ＭＳ 明朝" w:hAnsi="ＭＳ 明朝"/>
              </w:rPr>
            </w:pPr>
            <w:r w:rsidRPr="009D67DC">
              <w:rPr>
                <w:rFonts w:ascii="ＭＳ 明朝" w:eastAsia="ＭＳ 明朝" w:hAnsi="ＭＳ 明朝" w:hint="eastAsia"/>
              </w:rPr>
              <w:t>・・・・・・・・・・・・</w:t>
            </w:r>
          </w:p>
        </w:tc>
        <w:tc>
          <w:tcPr>
            <w:tcW w:w="3062" w:type="dxa"/>
          </w:tcPr>
          <w:p w:rsidR="00221A58" w:rsidRPr="009D67DC" w:rsidRDefault="00221A58" w:rsidP="009D67DC">
            <w:pPr>
              <w:pStyle w:val="a3"/>
              <w:numPr>
                <w:ilvl w:val="0"/>
                <w:numId w:val="5"/>
              </w:numPr>
              <w:ind w:leftChars="0"/>
              <w:jc w:val="left"/>
              <w:rPr>
                <w:rFonts w:ascii="ＭＳ 明朝" w:eastAsia="ＭＳ 明朝" w:hAnsi="ＭＳ 明朝"/>
              </w:rPr>
            </w:pPr>
            <w:r w:rsidRPr="009D67DC">
              <w:rPr>
                <w:rFonts w:ascii="ＭＳ 明朝" w:eastAsia="ＭＳ 明朝" w:hAnsi="ＭＳ 明朝" w:hint="eastAsia"/>
              </w:rPr>
              <w:t>・・・・・・・・・・・</w:t>
            </w:r>
          </w:p>
          <w:p w:rsidR="00221A58" w:rsidRPr="009D67DC" w:rsidRDefault="00221A58" w:rsidP="00221A58">
            <w:pPr>
              <w:jc w:val="left"/>
              <w:rPr>
                <w:rFonts w:ascii="ＭＳ 明朝" w:eastAsia="ＭＳ 明朝" w:hAnsi="ＭＳ 明朝"/>
              </w:rPr>
            </w:pPr>
            <w:r w:rsidRPr="009D67DC">
              <w:rPr>
                <w:rFonts w:ascii="ＭＳ 明朝" w:eastAsia="ＭＳ 明朝" w:hAnsi="ＭＳ 明朝" w:hint="eastAsia"/>
              </w:rPr>
              <w:t>②・・・・・・・・・・・・</w:t>
            </w:r>
          </w:p>
          <w:p w:rsidR="009F5FF0" w:rsidRPr="009D67DC" w:rsidRDefault="00221A58" w:rsidP="00221A58">
            <w:pPr>
              <w:jc w:val="left"/>
              <w:rPr>
                <w:rFonts w:ascii="ＭＳ 明朝" w:eastAsia="ＭＳ 明朝" w:hAnsi="ＭＳ 明朝"/>
              </w:rPr>
            </w:pPr>
            <w:r w:rsidRPr="009D67DC">
              <w:rPr>
                <w:rFonts w:ascii="ＭＳ 明朝" w:eastAsia="ＭＳ 明朝" w:hAnsi="ＭＳ 明朝" w:hint="eastAsia"/>
              </w:rPr>
              <w:t>③・・・・・・・・・・・・</w:t>
            </w:r>
          </w:p>
        </w:tc>
      </w:tr>
    </w:tbl>
    <w:p w:rsidR="009F5FF0" w:rsidRPr="009F5FF0" w:rsidRDefault="009F5FF0" w:rsidP="009F5FF0">
      <w:pPr>
        <w:ind w:left="386" w:hangingChars="200" w:hanging="386"/>
        <w:rPr>
          <w:rFonts w:ascii="ＭＳ 明朝" w:eastAsia="ＭＳ 明朝" w:hAnsi="ＭＳ 明朝"/>
        </w:rPr>
      </w:pPr>
      <w:r w:rsidRPr="009F5FF0">
        <w:rPr>
          <w:rFonts w:ascii="ＭＳ 明朝" w:eastAsia="ＭＳ 明朝" w:hAnsi="ＭＳ 明朝" w:hint="eastAsia"/>
        </w:rPr>
        <w:t xml:space="preserve">　※小</w:t>
      </w:r>
      <w:r w:rsidR="00B43A61">
        <w:rPr>
          <w:rFonts w:ascii="ＭＳ 明朝" w:eastAsia="ＭＳ 明朝" w:hAnsi="ＭＳ 明朝" w:hint="eastAsia"/>
        </w:rPr>
        <w:t>・中学校とも</w:t>
      </w:r>
      <w:r w:rsidRPr="009F5FF0">
        <w:rPr>
          <w:rFonts w:ascii="ＭＳ 明朝" w:eastAsia="ＭＳ 明朝" w:hAnsi="ＭＳ 明朝" w:hint="eastAsia"/>
        </w:rPr>
        <w:t>３観点で書</w:t>
      </w:r>
      <w:r w:rsidR="00B43A61">
        <w:rPr>
          <w:rFonts w:ascii="ＭＳ 明朝" w:eastAsia="ＭＳ 明朝" w:hAnsi="ＭＳ 明朝" w:hint="eastAsia"/>
        </w:rPr>
        <w:t>きます</w:t>
      </w:r>
      <w:r w:rsidRPr="009F5FF0">
        <w:rPr>
          <w:rFonts w:ascii="ＭＳ 明朝" w:eastAsia="ＭＳ 明朝" w:hAnsi="ＭＳ 明朝" w:hint="eastAsia"/>
        </w:rPr>
        <w:t>。</w:t>
      </w:r>
    </w:p>
    <w:p w:rsidR="009F5FF0" w:rsidRDefault="00B43A61" w:rsidP="009F5FF0">
      <w:pPr>
        <w:ind w:left="386" w:hangingChars="200" w:hanging="386"/>
        <w:rPr>
          <w:rFonts w:ascii="ＭＳ 明朝" w:eastAsia="ＭＳ 明朝" w:hAnsi="ＭＳ 明朝"/>
        </w:rPr>
      </w:pPr>
      <w:r>
        <w:rPr>
          <w:noProof/>
        </w:rPr>
        <w:drawing>
          <wp:anchor distT="0" distB="0" distL="114300" distR="114300" simplePos="0" relativeHeight="251660288" behindDoc="0" locked="0" layoutInCell="1" allowOverlap="1">
            <wp:simplePos x="0" y="0"/>
            <wp:positionH relativeFrom="margin">
              <wp:posOffset>4671060</wp:posOffset>
            </wp:positionH>
            <wp:positionV relativeFrom="paragraph">
              <wp:posOffset>269875</wp:posOffset>
            </wp:positionV>
            <wp:extent cx="836589" cy="866775"/>
            <wp:effectExtent l="0" t="0" r="190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836589" cy="866775"/>
                    </a:xfrm>
                    <a:prstGeom prst="rect">
                      <a:avLst/>
                    </a:prstGeom>
                  </pic:spPr>
                </pic:pic>
              </a:graphicData>
            </a:graphic>
            <wp14:sizeRelH relativeFrom="page">
              <wp14:pctWidth>0</wp14:pctWidth>
            </wp14:sizeRelH>
            <wp14:sizeRelV relativeFrom="page">
              <wp14:pctHeight>0</wp14:pctHeight>
            </wp14:sizeRelV>
          </wp:anchor>
        </w:drawing>
      </w:r>
      <w:r w:rsidR="009F5FF0" w:rsidRPr="009F5FF0">
        <w:rPr>
          <w:rFonts w:ascii="ＭＳ 明朝" w:eastAsia="ＭＳ 明朝" w:hAnsi="ＭＳ 明朝" w:hint="eastAsia"/>
        </w:rPr>
        <w:t xml:space="preserve">　※各教科等の単元（題材）の評価規準作成の手順は、「『指導と評価の一体化』のための学習評</w:t>
      </w:r>
      <w:r>
        <w:rPr>
          <w:rFonts w:ascii="ＭＳ 明朝" w:eastAsia="ＭＳ 明朝" w:hAnsi="ＭＳ 明朝" w:hint="eastAsia"/>
        </w:rPr>
        <w:t>価に関する参考資料（国立教育政策研究所　令和２年３月）を参考にしてください</w:t>
      </w:r>
      <w:r w:rsidR="009F5FF0" w:rsidRPr="009F5FF0">
        <w:rPr>
          <w:rFonts w:ascii="ＭＳ 明朝" w:eastAsia="ＭＳ 明朝" w:hAnsi="ＭＳ 明朝" w:hint="eastAsia"/>
        </w:rPr>
        <w:t>。</w:t>
      </w:r>
    </w:p>
    <w:p w:rsidR="00B43A61" w:rsidRPr="009F5FF0" w:rsidRDefault="00B43A61" w:rsidP="00B43A61">
      <w:pPr>
        <w:rPr>
          <w:rFonts w:ascii="ＭＳ 明朝" w:eastAsia="ＭＳ 明朝" w:hAnsi="ＭＳ 明朝" w:hint="eastAsia"/>
        </w:rPr>
      </w:pPr>
    </w:p>
    <w:p w:rsidR="009F5FF0" w:rsidRDefault="009F5FF0" w:rsidP="009F5FF0">
      <w:pPr>
        <w:ind w:left="386" w:hangingChars="200" w:hanging="386"/>
        <w:rPr>
          <w:rFonts w:ascii="ＭＳ 明朝" w:eastAsia="ＭＳ 明朝" w:hAnsi="ＭＳ 明朝"/>
        </w:rPr>
      </w:pPr>
    </w:p>
    <w:p w:rsidR="00B43A61" w:rsidRDefault="00B43A61" w:rsidP="009F5FF0">
      <w:pPr>
        <w:ind w:left="386" w:hangingChars="200" w:hanging="386"/>
        <w:rPr>
          <w:rFonts w:ascii="ＭＳ 明朝" w:eastAsia="ＭＳ 明朝" w:hAnsi="ＭＳ 明朝"/>
        </w:rPr>
      </w:pPr>
      <w:bookmarkStart w:id="0" w:name="_GoBack"/>
      <w:bookmarkEnd w:id="0"/>
    </w:p>
    <w:p w:rsidR="00B43A61" w:rsidRPr="00B43A61" w:rsidRDefault="00B43A61" w:rsidP="009F5FF0">
      <w:pPr>
        <w:ind w:left="386" w:hangingChars="200" w:hanging="386"/>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simplePos x="0" y="0"/>
                <wp:positionH relativeFrom="column">
                  <wp:posOffset>4443095</wp:posOffset>
                </wp:positionH>
                <wp:positionV relativeFrom="paragraph">
                  <wp:posOffset>57785</wp:posOffset>
                </wp:positionV>
                <wp:extent cx="1247775" cy="2762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47775" cy="276225"/>
                        </a:xfrm>
                        <a:prstGeom prst="rect">
                          <a:avLst/>
                        </a:prstGeom>
                        <a:noFill/>
                        <a:ln w="6350">
                          <a:noFill/>
                        </a:ln>
                      </wps:spPr>
                      <wps:txbx>
                        <w:txbxContent>
                          <w:p w:rsidR="00B43A61" w:rsidRDefault="00B43A61">
                            <w:pPr>
                              <w:rPr>
                                <w:rFonts w:hint="eastAsia"/>
                              </w:rPr>
                            </w:pPr>
                            <w:r>
                              <w:rPr>
                                <w:rFonts w:ascii="ＭＳ 明朝" w:eastAsia="ＭＳ 明朝" w:hAnsi="ＭＳ 明朝" w:hint="eastAsia"/>
                              </w:rPr>
                              <w:t>参考資料</w:t>
                            </w:r>
                            <w:r>
                              <w:rPr>
                                <w:rFonts w:ascii="ＭＳ 明朝" w:eastAsia="ＭＳ 明朝" w:hAnsi="ＭＳ 明朝" w:hint="eastAsia"/>
                              </w:rPr>
                              <w:t>QR</w:t>
                            </w:r>
                            <w:r>
                              <w:rPr>
                                <w:rFonts w:ascii="ＭＳ 明朝" w:eastAsia="ＭＳ 明朝" w:hAnsi="ＭＳ 明朝"/>
                              </w:rPr>
                              <w:t>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49.85pt;margin-top:4.55pt;width:98.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9yTQIAAGIEAAAOAAAAZHJzL2Uyb0RvYy54bWysVM2O0zAQviPxDpbvNG3oD0RNV2VXRUjV&#10;7kpdtGfXcZpIicfYbpNybKUVD8ErIM48T16EsZN2q4UT4uLMeP483zeT6VVdFmQntMlBxnTQ61Mi&#10;JIckl5uYfn5YvHlHibFMJqwAKWK6F4ZezV6/mlYqEiFkUCRCE0wiTVSpmGbWqigIDM9EyUwPlJBo&#10;TEGXzKKqN0GiWYXZyyII+/1xUIFOlAYujMHbm9ZIZz5/mgpu79LUCEuKmOLbrD+1P9fuDGZTFm00&#10;U1nOu2ewf3hFyXKJRc+pbphlZKvzP1KVOddgILU9DmUAaZpz4XvAbgb9F92sMqaE7wXBMeoMk/l/&#10;afnt7l6TPInpkBLJSqSoOT41hx/N4Vdz/Eaa4/fmeGwOP1EnQwdXpUyEUSuFcbb+ADXSfro3eOlQ&#10;qFNdui/2R9COwO/PYIvaEu6CwuFkMhlRwtEWTsZhOHJpgudopY39KKAkToipRjI9xmy3NLZ1Pbm4&#10;YhIWeVF4QgtJqpiO3476PuBsweSFxBquh/atTrL1uu4aW0Oyx740tINiFF/kWHzJjL1nGicDW8Fp&#10;t3d4pAVgEegkSjLQX/927/yRMLRSUuGkxdR82TItKCk+SaTy/WA4dKPpleFoEqKiLy3rS4vclteA&#10;wzzAvVLci87fFicx1VA+4lLMXVU0McmxdkztSby27fzjUnExn3snHEbF7FKuFHepHZwO2of6kWnV&#10;4W+RuVs4zSSLXtDQ+rZEzLcW0txz5ABuUe1wx0H2LHdL5zblUvdez7+G2W8AAAD//wMAUEsDBBQA&#10;BgAIAAAAIQAqAP2r4AAAAAgBAAAPAAAAZHJzL2Rvd25yZXYueG1sTI9BS8NAFITvgv9heYI3u2mg&#10;MYl5KSVQBNFDay/eXpJtEtx9G7PbNvrrXU/2OMww802xno0WZzW5wTLCchGBUNzYduAO4fC+fUhB&#10;OE/ckrasEL6Vg3V5e1NQ3toL79R57zsRStjlhNB7P+ZSuqZXhtzCjoqDd7STIR/k1Ml2oksoN1rG&#10;UZRIQwOHhZ5GVfWq+dyfDMJLtX2jXR2b9EdXz6/Hzfh1+Fgh3t/NmycQXs3+Pwx/+AEdysBU2xO3&#10;TmiEJMseQxQhW4IIfpolMYgaYRUnIMtCXh8ofwEAAP//AwBQSwECLQAUAAYACAAAACEAtoM4kv4A&#10;AADhAQAAEwAAAAAAAAAAAAAAAAAAAAAAW0NvbnRlbnRfVHlwZXNdLnhtbFBLAQItABQABgAIAAAA&#10;IQA4/SH/1gAAAJQBAAALAAAAAAAAAAAAAAAAAC8BAABfcmVscy8ucmVsc1BLAQItABQABgAIAAAA&#10;IQDdJv9yTQIAAGIEAAAOAAAAAAAAAAAAAAAAAC4CAABkcnMvZTJvRG9jLnhtbFBLAQItABQABgAI&#10;AAAAIQAqAP2r4AAAAAgBAAAPAAAAAAAAAAAAAAAAAKcEAABkcnMvZG93bnJldi54bWxQSwUGAAAA&#10;AAQABADzAAAAtAUAAAAA&#10;" filled="f" stroked="f" strokeweight=".5pt">
                <v:textbox>
                  <w:txbxContent>
                    <w:p w:rsidR="00B43A61" w:rsidRDefault="00B43A61">
                      <w:pPr>
                        <w:rPr>
                          <w:rFonts w:hint="eastAsia"/>
                        </w:rPr>
                      </w:pPr>
                      <w:r>
                        <w:rPr>
                          <w:rFonts w:ascii="ＭＳ 明朝" w:eastAsia="ＭＳ 明朝" w:hAnsi="ＭＳ 明朝" w:hint="eastAsia"/>
                        </w:rPr>
                        <w:t>参考資料</w:t>
                      </w:r>
                      <w:r>
                        <w:rPr>
                          <w:rFonts w:ascii="ＭＳ 明朝" w:eastAsia="ＭＳ 明朝" w:hAnsi="ＭＳ 明朝" w:hint="eastAsia"/>
                        </w:rPr>
                        <w:t>QR</w:t>
                      </w:r>
                      <w:r>
                        <w:rPr>
                          <w:rFonts w:ascii="ＭＳ 明朝" w:eastAsia="ＭＳ 明朝" w:hAnsi="ＭＳ 明朝"/>
                        </w:rPr>
                        <w:t>コード</w:t>
                      </w:r>
                    </w:p>
                  </w:txbxContent>
                </v:textbox>
              </v:shape>
            </w:pict>
          </mc:Fallback>
        </mc:AlternateContent>
      </w:r>
    </w:p>
    <w:p w:rsidR="00B6383D" w:rsidRDefault="009F5FF0" w:rsidP="009F5FF0">
      <w:pPr>
        <w:ind w:left="386" w:hangingChars="200" w:hanging="386"/>
        <w:rPr>
          <w:rFonts w:ascii="ＭＳ ゴシック" w:eastAsia="ＭＳ ゴシック" w:hAnsi="ＭＳ ゴシック"/>
        </w:rPr>
      </w:pPr>
      <w:r w:rsidRPr="00221A58">
        <w:rPr>
          <w:rFonts w:ascii="ＭＳ ゴシック" w:eastAsia="ＭＳ ゴシック" w:hAnsi="ＭＳ ゴシック" w:hint="eastAsia"/>
        </w:rPr>
        <w:t>５　指導と評価の計画（○時間）</w:t>
      </w:r>
    </w:p>
    <w:p w:rsidR="009F5FF0" w:rsidRDefault="00B6383D" w:rsidP="00B6383D">
      <w:pPr>
        <w:ind w:leftChars="200" w:left="386"/>
        <w:rPr>
          <w:rFonts w:ascii="ＭＳ ゴシック" w:eastAsia="ＭＳ ゴシック" w:hAnsi="ＭＳ ゴシック"/>
        </w:rPr>
      </w:pPr>
      <w:r>
        <w:rPr>
          <w:rFonts w:ascii="ＭＳ ゴシック" w:eastAsia="ＭＳ ゴシック" w:hAnsi="ＭＳ ゴシック" w:hint="eastAsia"/>
        </w:rPr>
        <w:t>（例）</w:t>
      </w:r>
    </w:p>
    <w:tbl>
      <w:tblPr>
        <w:tblStyle w:val="a4"/>
        <w:tblW w:w="0" w:type="auto"/>
        <w:tblInd w:w="420" w:type="dxa"/>
        <w:tblLook w:val="04A0" w:firstRow="1" w:lastRow="0" w:firstColumn="1" w:lastColumn="0" w:noHBand="0" w:noVBand="1"/>
      </w:tblPr>
      <w:tblGrid>
        <w:gridCol w:w="1560"/>
        <w:gridCol w:w="2772"/>
        <w:gridCol w:w="718"/>
        <w:gridCol w:w="718"/>
        <w:gridCol w:w="718"/>
        <w:gridCol w:w="2154"/>
      </w:tblGrid>
      <w:tr w:rsidR="00221A58" w:rsidTr="00DC0CCB">
        <w:tc>
          <w:tcPr>
            <w:tcW w:w="1560" w:type="dxa"/>
            <w:vMerge w:val="restart"/>
          </w:tcPr>
          <w:p w:rsidR="00221A58" w:rsidRDefault="00221A58" w:rsidP="00C86281">
            <w:pPr>
              <w:jc w:val="center"/>
              <w:rPr>
                <w:rFonts w:ascii="ＭＳ ゴシック" w:eastAsia="ＭＳ ゴシック" w:hAnsi="ＭＳ ゴシック"/>
              </w:rPr>
            </w:pPr>
            <w:r>
              <w:rPr>
                <w:rFonts w:ascii="ＭＳ ゴシック" w:eastAsia="ＭＳ ゴシック" w:hAnsi="ＭＳ ゴシック" w:hint="eastAsia"/>
              </w:rPr>
              <w:t>小単元名</w:t>
            </w:r>
          </w:p>
          <w:p w:rsidR="00221A58" w:rsidRDefault="00221A58" w:rsidP="00C86281">
            <w:pPr>
              <w:jc w:val="center"/>
              <w:rPr>
                <w:rFonts w:ascii="ＭＳ ゴシック" w:eastAsia="ＭＳ ゴシック" w:hAnsi="ＭＳ ゴシック"/>
              </w:rPr>
            </w:pPr>
            <w:r>
              <w:rPr>
                <w:rFonts w:ascii="ＭＳ ゴシック" w:eastAsia="ＭＳ ゴシック" w:hAnsi="ＭＳ ゴシック" w:hint="eastAsia"/>
              </w:rPr>
              <w:t>（時数）</w:t>
            </w:r>
          </w:p>
        </w:tc>
        <w:tc>
          <w:tcPr>
            <w:tcW w:w="2772" w:type="dxa"/>
            <w:vMerge w:val="restart"/>
            <w:vAlign w:val="center"/>
          </w:tcPr>
          <w:p w:rsidR="00221A58" w:rsidRDefault="00221A58" w:rsidP="00DC0CCB">
            <w:pPr>
              <w:jc w:val="center"/>
              <w:rPr>
                <w:rFonts w:ascii="ＭＳ ゴシック" w:eastAsia="ＭＳ ゴシック" w:hAnsi="ＭＳ ゴシック"/>
              </w:rPr>
            </w:pPr>
            <w:r>
              <w:rPr>
                <w:rFonts w:ascii="ＭＳ ゴシック" w:eastAsia="ＭＳ ゴシック" w:hAnsi="ＭＳ ゴシック" w:hint="eastAsia"/>
              </w:rPr>
              <w:t>ねらい・学習活動</w:t>
            </w:r>
          </w:p>
        </w:tc>
        <w:tc>
          <w:tcPr>
            <w:tcW w:w="2154" w:type="dxa"/>
            <w:gridSpan w:val="3"/>
          </w:tcPr>
          <w:p w:rsidR="00221A58" w:rsidRDefault="00221A58" w:rsidP="00DC0CCB">
            <w:pPr>
              <w:jc w:val="center"/>
              <w:rPr>
                <w:rFonts w:ascii="ＭＳ ゴシック" w:eastAsia="ＭＳ ゴシック" w:hAnsi="ＭＳ ゴシック"/>
              </w:rPr>
            </w:pPr>
            <w:r>
              <w:rPr>
                <w:rFonts w:ascii="ＭＳ ゴシック" w:eastAsia="ＭＳ ゴシック" w:hAnsi="ＭＳ ゴシック" w:hint="eastAsia"/>
              </w:rPr>
              <w:t>評価規準</w:t>
            </w:r>
          </w:p>
        </w:tc>
        <w:tc>
          <w:tcPr>
            <w:tcW w:w="2154" w:type="dxa"/>
            <w:vMerge w:val="restart"/>
            <w:vAlign w:val="center"/>
          </w:tcPr>
          <w:p w:rsidR="00221A58" w:rsidRDefault="00221A58" w:rsidP="00DC0CCB">
            <w:pPr>
              <w:jc w:val="center"/>
              <w:rPr>
                <w:rFonts w:ascii="ＭＳ ゴシック" w:eastAsia="ＭＳ ゴシック" w:hAnsi="ＭＳ ゴシック"/>
              </w:rPr>
            </w:pPr>
            <w:r>
              <w:rPr>
                <w:rFonts w:ascii="ＭＳ ゴシック" w:eastAsia="ＭＳ ゴシック" w:hAnsi="ＭＳ ゴシック" w:hint="eastAsia"/>
              </w:rPr>
              <w:t>評価方法</w:t>
            </w:r>
          </w:p>
        </w:tc>
      </w:tr>
      <w:tr w:rsidR="00221A58" w:rsidTr="00FC01FD">
        <w:tc>
          <w:tcPr>
            <w:tcW w:w="1560" w:type="dxa"/>
            <w:vMerge/>
          </w:tcPr>
          <w:p w:rsidR="00221A58" w:rsidRDefault="00221A58" w:rsidP="009F5FF0">
            <w:pPr>
              <w:rPr>
                <w:rFonts w:ascii="ＭＳ ゴシック" w:eastAsia="ＭＳ ゴシック" w:hAnsi="ＭＳ ゴシック"/>
              </w:rPr>
            </w:pPr>
          </w:p>
        </w:tc>
        <w:tc>
          <w:tcPr>
            <w:tcW w:w="2772" w:type="dxa"/>
            <w:vMerge/>
          </w:tcPr>
          <w:p w:rsidR="00221A58" w:rsidRDefault="00221A58" w:rsidP="009F5FF0">
            <w:pPr>
              <w:rPr>
                <w:rFonts w:ascii="ＭＳ ゴシック" w:eastAsia="ＭＳ ゴシック" w:hAnsi="ＭＳ ゴシック"/>
              </w:rPr>
            </w:pPr>
          </w:p>
        </w:tc>
        <w:tc>
          <w:tcPr>
            <w:tcW w:w="718" w:type="dxa"/>
          </w:tcPr>
          <w:p w:rsidR="00221A58" w:rsidRDefault="00221A58" w:rsidP="00DC0CCB">
            <w:pPr>
              <w:jc w:val="center"/>
              <w:rPr>
                <w:rFonts w:ascii="ＭＳ ゴシック" w:eastAsia="ＭＳ ゴシック" w:hAnsi="ＭＳ ゴシック"/>
              </w:rPr>
            </w:pPr>
            <w:r>
              <w:rPr>
                <w:rFonts w:ascii="ＭＳ ゴシック" w:eastAsia="ＭＳ ゴシック" w:hAnsi="ＭＳ ゴシック" w:hint="eastAsia"/>
              </w:rPr>
              <w:t>知</w:t>
            </w:r>
          </w:p>
        </w:tc>
        <w:tc>
          <w:tcPr>
            <w:tcW w:w="718" w:type="dxa"/>
          </w:tcPr>
          <w:p w:rsidR="00221A58" w:rsidRDefault="00221A58" w:rsidP="00DC0CCB">
            <w:pPr>
              <w:jc w:val="center"/>
              <w:rPr>
                <w:rFonts w:ascii="ＭＳ ゴシック" w:eastAsia="ＭＳ ゴシック" w:hAnsi="ＭＳ ゴシック"/>
              </w:rPr>
            </w:pPr>
            <w:r>
              <w:rPr>
                <w:rFonts w:ascii="ＭＳ ゴシック" w:eastAsia="ＭＳ ゴシック" w:hAnsi="ＭＳ ゴシック" w:hint="eastAsia"/>
              </w:rPr>
              <w:t>思</w:t>
            </w:r>
          </w:p>
        </w:tc>
        <w:tc>
          <w:tcPr>
            <w:tcW w:w="718" w:type="dxa"/>
          </w:tcPr>
          <w:p w:rsidR="00221A58" w:rsidRDefault="00221A58" w:rsidP="00DC0CCB">
            <w:pPr>
              <w:jc w:val="center"/>
              <w:rPr>
                <w:rFonts w:ascii="ＭＳ ゴシック" w:eastAsia="ＭＳ ゴシック" w:hAnsi="ＭＳ ゴシック"/>
              </w:rPr>
            </w:pPr>
            <w:r>
              <w:rPr>
                <w:rFonts w:ascii="ＭＳ ゴシック" w:eastAsia="ＭＳ ゴシック" w:hAnsi="ＭＳ ゴシック" w:hint="eastAsia"/>
              </w:rPr>
              <w:t>態</w:t>
            </w:r>
          </w:p>
        </w:tc>
        <w:tc>
          <w:tcPr>
            <w:tcW w:w="2154" w:type="dxa"/>
            <w:vMerge/>
          </w:tcPr>
          <w:p w:rsidR="00221A58" w:rsidRDefault="00221A58" w:rsidP="009F5FF0">
            <w:pPr>
              <w:rPr>
                <w:rFonts w:ascii="ＭＳ ゴシック" w:eastAsia="ＭＳ ゴシック" w:hAnsi="ＭＳ ゴシック"/>
              </w:rPr>
            </w:pPr>
          </w:p>
        </w:tc>
      </w:tr>
      <w:tr w:rsidR="00221A58" w:rsidTr="007800B3">
        <w:tc>
          <w:tcPr>
            <w:tcW w:w="1560" w:type="dxa"/>
          </w:tcPr>
          <w:p w:rsidR="00221A58" w:rsidRDefault="00221A58" w:rsidP="009F5FF0">
            <w:pPr>
              <w:rPr>
                <w:rFonts w:ascii="ＭＳ ゴシック" w:eastAsia="ＭＳ ゴシック" w:hAnsi="ＭＳ ゴシック"/>
              </w:rPr>
            </w:pPr>
          </w:p>
          <w:p w:rsidR="00221A58" w:rsidRDefault="00221A58" w:rsidP="009F5FF0">
            <w:pPr>
              <w:rPr>
                <w:rFonts w:ascii="ＭＳ ゴシック" w:eastAsia="ＭＳ ゴシック" w:hAnsi="ＭＳ ゴシック"/>
              </w:rPr>
            </w:pPr>
          </w:p>
          <w:p w:rsidR="00221A58" w:rsidRDefault="00221A58" w:rsidP="009F5FF0">
            <w:pPr>
              <w:rPr>
                <w:rFonts w:ascii="ＭＳ ゴシック" w:eastAsia="ＭＳ ゴシック" w:hAnsi="ＭＳ ゴシック"/>
              </w:rPr>
            </w:pPr>
          </w:p>
          <w:p w:rsidR="00221A58" w:rsidRDefault="00221A58" w:rsidP="009F5FF0">
            <w:pPr>
              <w:rPr>
                <w:rFonts w:ascii="ＭＳ ゴシック" w:eastAsia="ＭＳ ゴシック" w:hAnsi="ＭＳ ゴシック"/>
              </w:rPr>
            </w:pPr>
          </w:p>
        </w:tc>
        <w:tc>
          <w:tcPr>
            <w:tcW w:w="2772" w:type="dxa"/>
          </w:tcPr>
          <w:p w:rsidR="00221A58" w:rsidRDefault="00221A58" w:rsidP="009F5FF0">
            <w:pPr>
              <w:rPr>
                <w:rFonts w:ascii="ＭＳ ゴシック" w:eastAsia="ＭＳ ゴシック" w:hAnsi="ＭＳ ゴシック"/>
              </w:rPr>
            </w:pPr>
          </w:p>
        </w:tc>
        <w:tc>
          <w:tcPr>
            <w:tcW w:w="718" w:type="dxa"/>
          </w:tcPr>
          <w:p w:rsidR="00221A58" w:rsidRDefault="00221A58" w:rsidP="009F5FF0">
            <w:pPr>
              <w:rPr>
                <w:rFonts w:ascii="ＭＳ ゴシック" w:eastAsia="ＭＳ ゴシック" w:hAnsi="ＭＳ ゴシック"/>
              </w:rPr>
            </w:pPr>
          </w:p>
        </w:tc>
        <w:tc>
          <w:tcPr>
            <w:tcW w:w="718" w:type="dxa"/>
          </w:tcPr>
          <w:p w:rsidR="00221A58" w:rsidRDefault="00221A58" w:rsidP="009F5FF0">
            <w:pPr>
              <w:rPr>
                <w:rFonts w:ascii="ＭＳ ゴシック" w:eastAsia="ＭＳ ゴシック" w:hAnsi="ＭＳ ゴシック"/>
              </w:rPr>
            </w:pPr>
          </w:p>
        </w:tc>
        <w:tc>
          <w:tcPr>
            <w:tcW w:w="718" w:type="dxa"/>
          </w:tcPr>
          <w:p w:rsidR="00221A58" w:rsidRDefault="00221A58" w:rsidP="009F5FF0">
            <w:pPr>
              <w:rPr>
                <w:rFonts w:ascii="ＭＳ ゴシック" w:eastAsia="ＭＳ ゴシック" w:hAnsi="ＭＳ ゴシック"/>
              </w:rPr>
            </w:pPr>
          </w:p>
        </w:tc>
        <w:tc>
          <w:tcPr>
            <w:tcW w:w="2154" w:type="dxa"/>
          </w:tcPr>
          <w:p w:rsidR="00221A58" w:rsidRDefault="00221A58" w:rsidP="009F5FF0">
            <w:pPr>
              <w:rPr>
                <w:rFonts w:ascii="ＭＳ ゴシック" w:eastAsia="ＭＳ ゴシック" w:hAnsi="ＭＳ ゴシック"/>
              </w:rPr>
            </w:pPr>
          </w:p>
        </w:tc>
      </w:tr>
    </w:tbl>
    <w:p w:rsidR="009F5FF0" w:rsidRDefault="009F5FF0" w:rsidP="009F5FF0">
      <w:pPr>
        <w:ind w:left="386" w:hangingChars="200" w:hanging="386"/>
        <w:rPr>
          <w:rFonts w:ascii="ＭＳ 明朝" w:eastAsia="ＭＳ 明朝" w:hAnsi="ＭＳ 明朝"/>
        </w:rPr>
      </w:pPr>
      <w:r w:rsidRPr="009F5FF0">
        <w:rPr>
          <w:rFonts w:ascii="ＭＳ 明朝" w:eastAsia="ＭＳ 明朝" w:hAnsi="ＭＳ 明朝" w:hint="eastAsia"/>
        </w:rPr>
        <w:t xml:space="preserve">　※</w:t>
      </w:r>
      <w:r w:rsidR="00221A58">
        <w:rPr>
          <w:rFonts w:ascii="ＭＳ 明朝" w:eastAsia="ＭＳ 明朝" w:hAnsi="ＭＳ 明朝" w:hint="eastAsia"/>
        </w:rPr>
        <w:t>単元や題材など、内容や時間のまとまりを見通</w:t>
      </w:r>
      <w:r w:rsidR="00B43A61">
        <w:rPr>
          <w:rFonts w:ascii="ＭＳ 明朝" w:eastAsia="ＭＳ 明朝" w:hAnsi="ＭＳ 明朝" w:hint="eastAsia"/>
        </w:rPr>
        <w:t>しながら、児童生徒の主体的・対話的で深い学びが実現されるようにします</w:t>
      </w:r>
      <w:r w:rsidR="00221A58">
        <w:rPr>
          <w:rFonts w:ascii="ＭＳ 明朝" w:eastAsia="ＭＳ 明朝" w:hAnsi="ＭＳ 明朝" w:hint="eastAsia"/>
        </w:rPr>
        <w:t>。</w:t>
      </w:r>
    </w:p>
    <w:p w:rsidR="00221A58" w:rsidRDefault="00221A58" w:rsidP="009F5FF0">
      <w:pPr>
        <w:ind w:left="386" w:hangingChars="200" w:hanging="386"/>
        <w:rPr>
          <w:rFonts w:ascii="ＭＳ 明朝" w:eastAsia="ＭＳ 明朝" w:hAnsi="ＭＳ 明朝"/>
        </w:rPr>
      </w:pPr>
      <w:r>
        <w:rPr>
          <w:rFonts w:ascii="ＭＳ 明朝" w:eastAsia="ＭＳ 明朝" w:hAnsi="ＭＳ 明朝" w:hint="eastAsia"/>
        </w:rPr>
        <w:t xml:space="preserve">　※各教科等の目標の実現に向けた学習状況を把握する観点から、単元や題材など内容や時間のまとまりを見通しながら評価の場面や方法を工夫して、学習の過程や成果を評価し、指</w:t>
      </w:r>
      <w:r w:rsidR="00B43A61">
        <w:rPr>
          <w:rFonts w:ascii="ＭＳ 明朝" w:eastAsia="ＭＳ 明朝" w:hAnsi="ＭＳ 明朝" w:hint="eastAsia"/>
        </w:rPr>
        <w:t>導の改善や学習意欲の向上を図り、資質・能力の育成に生かすようにします</w:t>
      </w:r>
      <w:r>
        <w:rPr>
          <w:rFonts w:ascii="ＭＳ 明朝" w:eastAsia="ＭＳ 明朝" w:hAnsi="ＭＳ 明朝" w:hint="eastAsia"/>
        </w:rPr>
        <w:t>。</w:t>
      </w:r>
    </w:p>
    <w:p w:rsidR="00B6383D" w:rsidRDefault="00221A58" w:rsidP="00B43A61">
      <w:pPr>
        <w:ind w:left="386" w:hangingChars="200" w:hanging="386"/>
        <w:rPr>
          <w:rFonts w:ascii="ＭＳ 明朝" w:eastAsia="ＭＳ 明朝" w:hAnsi="ＭＳ 明朝" w:hint="eastAsia"/>
        </w:rPr>
      </w:pPr>
      <w:r>
        <w:rPr>
          <w:rFonts w:ascii="ＭＳ 明朝" w:eastAsia="ＭＳ 明朝" w:hAnsi="ＭＳ 明朝" w:hint="eastAsia"/>
        </w:rPr>
        <w:t xml:space="preserve">　※</w:t>
      </w:r>
      <w:r w:rsidR="00FF163C">
        <w:rPr>
          <w:rFonts w:ascii="ＭＳ 明朝" w:eastAsia="ＭＳ 明朝" w:hAnsi="ＭＳ 明朝" w:hint="eastAsia"/>
        </w:rPr>
        <w:t>単元（題材）を見通して、</w:t>
      </w:r>
      <w:r>
        <w:rPr>
          <w:rFonts w:ascii="ＭＳ 明朝" w:eastAsia="ＭＳ 明朝" w:hAnsi="ＭＳ 明朝" w:hint="eastAsia"/>
        </w:rPr>
        <w:t>教師の指導</w:t>
      </w:r>
      <w:r w:rsidR="00FF163C">
        <w:rPr>
          <w:rFonts w:ascii="ＭＳ 明朝" w:eastAsia="ＭＳ 明朝" w:hAnsi="ＭＳ 明朝" w:hint="eastAsia"/>
        </w:rPr>
        <w:t>改善</w:t>
      </w:r>
      <w:r>
        <w:rPr>
          <w:rFonts w:ascii="ＭＳ 明朝" w:eastAsia="ＭＳ 明朝" w:hAnsi="ＭＳ 明朝" w:hint="eastAsia"/>
        </w:rPr>
        <w:t>に生かす評価と、</w:t>
      </w:r>
      <w:r w:rsidR="00FF163C">
        <w:rPr>
          <w:rFonts w:ascii="ＭＳ 明朝" w:eastAsia="ＭＳ 明朝" w:hAnsi="ＭＳ 明朝" w:hint="eastAsia"/>
        </w:rPr>
        <w:t>総括の資料とするため全ての</w:t>
      </w:r>
      <w:r>
        <w:rPr>
          <w:rFonts w:ascii="ＭＳ 明朝" w:eastAsia="ＭＳ 明朝" w:hAnsi="ＭＳ 明朝" w:hint="eastAsia"/>
        </w:rPr>
        <w:t>児童生徒の学習状況を評価</w:t>
      </w:r>
      <w:r w:rsidR="00B43A61">
        <w:rPr>
          <w:rFonts w:ascii="ＭＳ 明朝" w:eastAsia="ＭＳ 明朝" w:hAnsi="ＭＳ 明朝" w:hint="eastAsia"/>
        </w:rPr>
        <w:t>して記録に残す場面の位置付けを考えます</w:t>
      </w:r>
      <w:r w:rsidR="00FF163C">
        <w:rPr>
          <w:rFonts w:ascii="ＭＳ 明朝" w:eastAsia="ＭＳ 明朝" w:hAnsi="ＭＳ 明朝" w:hint="eastAsia"/>
        </w:rPr>
        <w:t>。</w:t>
      </w:r>
    </w:p>
    <w:p w:rsidR="00A47A4F" w:rsidRDefault="00B22B5B" w:rsidP="009F5FF0">
      <w:pPr>
        <w:ind w:left="386" w:hangingChars="200" w:hanging="386"/>
        <w:rPr>
          <w:rFonts w:ascii="ＭＳ 明朝" w:eastAsia="ＭＳ 明朝" w:hAnsi="ＭＳ 明朝"/>
        </w:rPr>
      </w:pPr>
      <w:r>
        <w:rPr>
          <w:rFonts w:ascii="ＭＳ 明朝" w:eastAsia="ＭＳ 明朝" w:hAnsi="ＭＳ 明朝" w:hint="eastAsia"/>
        </w:rPr>
        <w:t xml:space="preserve">　※「新大分スタンダードのすすめ」（平成31</w:t>
      </w:r>
      <w:r w:rsidR="00B43A61">
        <w:rPr>
          <w:rFonts w:ascii="ＭＳ 明朝" w:eastAsia="ＭＳ 明朝" w:hAnsi="ＭＳ 明朝" w:hint="eastAsia"/>
        </w:rPr>
        <w:t>年３月　第３版）を参考にしてください。</w:t>
      </w:r>
    </w:p>
    <w:p w:rsidR="00B43A61" w:rsidRDefault="00B43A61" w:rsidP="009F5FF0">
      <w:pPr>
        <w:ind w:left="386" w:hangingChars="200" w:hanging="386"/>
        <w:rPr>
          <w:rFonts w:ascii="ＭＳ 明朝" w:eastAsia="ＭＳ 明朝" w:hAnsi="ＭＳ 明朝"/>
        </w:rPr>
      </w:pPr>
      <w:r>
        <w:rPr>
          <w:noProof/>
        </w:rPr>
        <w:drawing>
          <wp:anchor distT="0" distB="0" distL="114300" distR="114300" simplePos="0" relativeHeight="251659264" behindDoc="0" locked="0" layoutInCell="1" allowOverlap="1">
            <wp:simplePos x="0" y="0"/>
            <wp:positionH relativeFrom="column">
              <wp:posOffset>328295</wp:posOffset>
            </wp:positionH>
            <wp:positionV relativeFrom="paragraph">
              <wp:posOffset>6985</wp:posOffset>
            </wp:positionV>
            <wp:extent cx="933549" cy="92392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37432" cy="927768"/>
                    </a:xfrm>
                    <a:prstGeom prst="rect">
                      <a:avLst/>
                    </a:prstGeom>
                  </pic:spPr>
                </pic:pic>
              </a:graphicData>
            </a:graphic>
            <wp14:sizeRelH relativeFrom="page">
              <wp14:pctWidth>0</wp14:pctWidth>
            </wp14:sizeRelH>
            <wp14:sizeRelV relativeFrom="page">
              <wp14:pctHeight>0</wp14:pctHeight>
            </wp14:sizeRelV>
          </wp:anchor>
        </w:drawing>
      </w:r>
    </w:p>
    <w:p w:rsidR="00B43A61" w:rsidRDefault="00B43A61" w:rsidP="009F5FF0">
      <w:pPr>
        <w:ind w:left="386" w:hangingChars="200" w:hanging="386"/>
        <w:rPr>
          <w:rFonts w:ascii="ＭＳ 明朝" w:eastAsia="ＭＳ 明朝" w:hAnsi="ＭＳ 明朝"/>
        </w:rPr>
      </w:pPr>
    </w:p>
    <w:p w:rsidR="00B43A61" w:rsidRDefault="00B43A61" w:rsidP="009F5FF0">
      <w:pPr>
        <w:ind w:left="386" w:hangingChars="200" w:hanging="386"/>
        <w:rPr>
          <w:rFonts w:ascii="ＭＳ 明朝" w:eastAsia="ＭＳ 明朝" w:hAnsi="ＭＳ 明朝"/>
        </w:rPr>
      </w:pPr>
    </w:p>
    <w:p w:rsidR="00B43A61" w:rsidRDefault="00B43A61" w:rsidP="009F5FF0">
      <w:pPr>
        <w:ind w:left="386" w:hangingChars="200" w:hanging="386"/>
        <w:rPr>
          <w:rFonts w:ascii="ＭＳ 明朝" w:eastAsia="ＭＳ 明朝" w:hAnsi="ＭＳ 明朝" w:hint="eastAsia"/>
        </w:rPr>
      </w:pPr>
    </w:p>
    <w:p w:rsidR="00B43A61" w:rsidRDefault="00B43A61" w:rsidP="009F5FF0">
      <w:pPr>
        <w:ind w:left="386" w:hangingChars="200" w:hanging="386"/>
        <w:rPr>
          <w:rFonts w:ascii="ＭＳ 明朝" w:eastAsia="ＭＳ 明朝" w:hAnsi="ＭＳ 明朝" w:hint="eastAsia"/>
        </w:rPr>
      </w:pPr>
    </w:p>
    <w:p w:rsidR="00B43A61" w:rsidRPr="00DB3DF5" w:rsidRDefault="00B43A61" w:rsidP="009F5FF0">
      <w:pPr>
        <w:ind w:left="386" w:hangingChars="200" w:hanging="386"/>
        <w:rPr>
          <w:rFonts w:ascii="ＭＳ 明朝" w:eastAsia="ＭＳ 明朝" w:hAnsi="ＭＳ 明朝" w:hint="eastAsia"/>
        </w:rPr>
      </w:pPr>
      <w:r>
        <w:rPr>
          <w:noProof/>
        </w:rPr>
        <w:drawing>
          <wp:anchor distT="0" distB="0" distL="114300" distR="114300" simplePos="0" relativeHeight="251658240" behindDoc="0" locked="0" layoutInCell="1" allowOverlap="1">
            <wp:simplePos x="0" y="0"/>
            <wp:positionH relativeFrom="column">
              <wp:posOffset>346710</wp:posOffset>
            </wp:positionH>
            <wp:positionV relativeFrom="paragraph">
              <wp:posOffset>246380</wp:posOffset>
            </wp:positionV>
            <wp:extent cx="962025" cy="944373"/>
            <wp:effectExtent l="0" t="0" r="0" b="825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62025" cy="944373"/>
                    </a:xfrm>
                    <a:prstGeom prst="rect">
                      <a:avLst/>
                    </a:prstGeom>
                  </pic:spPr>
                </pic:pic>
              </a:graphicData>
            </a:graphic>
            <wp14:sizeRelH relativeFrom="page">
              <wp14:pctWidth>0</wp14:pctWidth>
            </wp14:sizeRelH>
            <wp14:sizeRelV relativeFrom="page">
              <wp14:pctHeight>0</wp14:pctHeight>
            </wp14:sizeRelV>
          </wp:anchor>
        </w:drawing>
      </w:r>
      <w:r>
        <w:rPr>
          <w:rFonts w:ascii="ＭＳ 明朝" w:eastAsia="ＭＳ 明朝" w:hAnsi="ＭＳ 明朝" w:hint="eastAsia"/>
        </w:rPr>
        <w:t xml:space="preserve">　</w:t>
      </w:r>
      <w:r>
        <w:rPr>
          <w:rFonts w:ascii="ＭＳ 明朝" w:eastAsia="ＭＳ 明朝" w:hAnsi="ＭＳ 明朝" w:hint="eastAsia"/>
        </w:rPr>
        <w:t>※「早わかり！単元計画の作成手順」も参考にしてください。</w:t>
      </w:r>
    </w:p>
    <w:sectPr w:rsidR="00B43A61" w:rsidRPr="00DB3DF5" w:rsidSect="00B43A61">
      <w:pgSz w:w="11906" w:h="16838" w:code="9"/>
      <w:pgMar w:top="1134" w:right="1418" w:bottom="1134" w:left="1418" w:header="851" w:footer="992" w:gutter="0"/>
      <w:cols w:space="425"/>
      <w:docGrid w:type="linesAndChars" w:linePitch="31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911" w:rsidRDefault="00170911" w:rsidP="009D67DC">
      <w:r>
        <w:separator/>
      </w:r>
    </w:p>
  </w:endnote>
  <w:endnote w:type="continuationSeparator" w:id="0">
    <w:p w:rsidR="00170911" w:rsidRDefault="00170911" w:rsidP="009D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911" w:rsidRDefault="00170911" w:rsidP="009D67DC">
      <w:r>
        <w:separator/>
      </w:r>
    </w:p>
  </w:footnote>
  <w:footnote w:type="continuationSeparator" w:id="0">
    <w:p w:rsidR="00170911" w:rsidRDefault="00170911" w:rsidP="009D6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2674"/>
    <w:multiLevelType w:val="hybridMultilevel"/>
    <w:tmpl w:val="49189D8C"/>
    <w:lvl w:ilvl="0" w:tplc="57D01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E37C9E"/>
    <w:multiLevelType w:val="hybridMultilevel"/>
    <w:tmpl w:val="61D46622"/>
    <w:lvl w:ilvl="0" w:tplc="D1A42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E23B23"/>
    <w:multiLevelType w:val="hybridMultilevel"/>
    <w:tmpl w:val="B65EC89C"/>
    <w:lvl w:ilvl="0" w:tplc="EC0C45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ACA14EF"/>
    <w:multiLevelType w:val="hybridMultilevel"/>
    <w:tmpl w:val="C37880B0"/>
    <w:lvl w:ilvl="0" w:tplc="A67082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AA7432"/>
    <w:multiLevelType w:val="hybridMultilevel"/>
    <w:tmpl w:val="458A53B4"/>
    <w:lvl w:ilvl="0" w:tplc="A44808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444"/>
    <w:rsid w:val="00170911"/>
    <w:rsid w:val="00221A58"/>
    <w:rsid w:val="00261444"/>
    <w:rsid w:val="009D67DC"/>
    <w:rsid w:val="009F5FF0"/>
    <w:rsid w:val="00A47A4F"/>
    <w:rsid w:val="00B22B5B"/>
    <w:rsid w:val="00B43A61"/>
    <w:rsid w:val="00B6383D"/>
    <w:rsid w:val="00C86281"/>
    <w:rsid w:val="00DB3DF5"/>
    <w:rsid w:val="00DC0CCB"/>
    <w:rsid w:val="00FA639A"/>
    <w:rsid w:val="00FF1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308781"/>
  <w15:chartTrackingRefBased/>
  <w15:docId w15:val="{7A3AAAF8-D0AA-4E19-90AB-2A389075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FF0"/>
    <w:pPr>
      <w:ind w:leftChars="400" w:left="840"/>
    </w:pPr>
  </w:style>
  <w:style w:type="table" w:styleId="a4">
    <w:name w:val="Table Grid"/>
    <w:basedOn w:val="a1"/>
    <w:uiPriority w:val="39"/>
    <w:rsid w:val="009F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47A4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7A4F"/>
    <w:rPr>
      <w:rFonts w:asciiTheme="majorHAnsi" w:eastAsiaTheme="majorEastAsia" w:hAnsiTheme="majorHAnsi" w:cstheme="majorBidi"/>
      <w:sz w:val="18"/>
      <w:szCs w:val="18"/>
    </w:rPr>
  </w:style>
  <w:style w:type="paragraph" w:styleId="a7">
    <w:name w:val="header"/>
    <w:basedOn w:val="a"/>
    <w:link w:val="a8"/>
    <w:uiPriority w:val="99"/>
    <w:unhideWhenUsed/>
    <w:rsid w:val="009D67DC"/>
    <w:pPr>
      <w:tabs>
        <w:tab w:val="center" w:pos="4252"/>
        <w:tab w:val="right" w:pos="8504"/>
      </w:tabs>
      <w:snapToGrid w:val="0"/>
    </w:pPr>
  </w:style>
  <w:style w:type="character" w:customStyle="1" w:styleId="a8">
    <w:name w:val="ヘッダー (文字)"/>
    <w:basedOn w:val="a0"/>
    <w:link w:val="a7"/>
    <w:uiPriority w:val="99"/>
    <w:rsid w:val="009D67DC"/>
  </w:style>
  <w:style w:type="paragraph" w:styleId="a9">
    <w:name w:val="footer"/>
    <w:basedOn w:val="a"/>
    <w:link w:val="aa"/>
    <w:uiPriority w:val="99"/>
    <w:unhideWhenUsed/>
    <w:rsid w:val="009D67DC"/>
    <w:pPr>
      <w:tabs>
        <w:tab w:val="center" w:pos="4252"/>
        <w:tab w:val="right" w:pos="8504"/>
      </w:tabs>
      <w:snapToGrid w:val="0"/>
    </w:pPr>
  </w:style>
  <w:style w:type="character" w:customStyle="1" w:styleId="aa">
    <w:name w:val="フッター (文字)"/>
    <w:basedOn w:val="a0"/>
    <w:link w:val="a9"/>
    <w:uiPriority w:val="99"/>
    <w:rsid w:val="009D6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11</cp:revision>
  <cp:lastPrinted>2020-05-29T02:16:00Z</cp:lastPrinted>
  <dcterms:created xsi:type="dcterms:W3CDTF">2020-05-28T22:21:00Z</dcterms:created>
  <dcterms:modified xsi:type="dcterms:W3CDTF">2021-05-25T23:15:00Z</dcterms:modified>
</cp:coreProperties>
</file>